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8C" w:rsidRPr="00B42E3E" w:rsidRDefault="00C31787" w:rsidP="002D3D8C">
      <w:pPr>
        <w:snapToGrid w:val="0"/>
        <w:spacing w:after="24" w:line="360" w:lineRule="atLeast"/>
        <w:rPr>
          <w:rFonts w:ascii="Arial" w:eastAsia="標楷體" w:hAnsi="Arial" w:cs="Arial"/>
          <w:b/>
          <w:sz w:val="32"/>
          <w:szCs w:val="32"/>
        </w:rPr>
      </w:pPr>
      <w:bookmarkStart w:id="0" w:name="_GoBack"/>
      <w:bookmarkEnd w:id="0"/>
      <w:r>
        <w:rPr>
          <w:rFonts w:ascii="Arial" w:eastAsia="標楷體" w:hAnsi="Arial" w:cs="Arial" w:hint="eastAsia"/>
          <w:b/>
          <w:sz w:val="32"/>
          <w:szCs w:val="32"/>
        </w:rPr>
        <w:t>109</w:t>
      </w:r>
      <w:r w:rsidRPr="00B42E3E">
        <w:rPr>
          <w:rFonts w:ascii="Arial" w:eastAsia="標楷體" w:hAnsi="Arial" w:cs="Arial" w:hint="eastAsia"/>
          <w:b/>
          <w:sz w:val="32"/>
          <w:szCs w:val="32"/>
        </w:rPr>
        <w:t>年</w:t>
      </w:r>
      <w:r w:rsidRPr="00B42E3E">
        <w:rPr>
          <w:rFonts w:ascii="Arial" w:eastAsia="標楷體" w:hAnsi="Arial" w:cs="Arial"/>
          <w:b/>
          <w:sz w:val="32"/>
          <w:szCs w:val="32"/>
        </w:rPr>
        <w:t>第</w:t>
      </w:r>
      <w:r>
        <w:rPr>
          <w:rFonts w:ascii="Arial" w:eastAsia="標楷體" w:hAnsi="Arial" w:cs="Arial" w:hint="eastAsia"/>
          <w:b/>
          <w:sz w:val="32"/>
          <w:szCs w:val="32"/>
        </w:rPr>
        <w:t>4</w:t>
      </w:r>
      <w:r w:rsidRPr="00B42E3E">
        <w:rPr>
          <w:rFonts w:ascii="Arial" w:eastAsia="標楷體" w:hAnsi="Arial" w:cs="Arial"/>
          <w:b/>
          <w:sz w:val="32"/>
          <w:szCs w:val="32"/>
        </w:rPr>
        <w:t>次證券商業務員資格測驗試題</w:t>
      </w:r>
    </w:p>
    <w:p w:rsidR="00790F83" w:rsidRPr="00383859" w:rsidRDefault="00790F83" w:rsidP="00A0243F">
      <w:pPr>
        <w:tabs>
          <w:tab w:val="left" w:pos="5640"/>
        </w:tabs>
        <w:snapToGrid w:val="0"/>
        <w:spacing w:after="24"/>
        <w:rPr>
          <w:rFonts w:ascii="Arial" w:eastAsia="標楷體" w:hAnsi="Arial" w:cs="Arial"/>
          <w:b/>
          <w:sz w:val="28"/>
        </w:rPr>
      </w:pPr>
      <w:r w:rsidRPr="00383859">
        <w:rPr>
          <w:rFonts w:ascii="Arial" w:eastAsia="標楷體" w:hAnsi="Arial" w:cs="Arial"/>
          <w:b/>
          <w:sz w:val="28"/>
        </w:rPr>
        <w:t>專業科目：</w:t>
      </w:r>
      <w:r w:rsidR="00F7396D" w:rsidRPr="00383859">
        <w:rPr>
          <w:rFonts w:ascii="Arial" w:eastAsia="標楷體" w:hAnsi="Arial" w:cs="Arial"/>
          <w:b/>
          <w:sz w:val="28"/>
        </w:rPr>
        <w:t>證券交易相關法規與實務</w:t>
      </w:r>
      <w:r w:rsidRPr="00383859">
        <w:rPr>
          <w:rFonts w:ascii="Arial" w:eastAsia="標楷體" w:hAnsi="Arial" w:cs="Arial"/>
          <w:b/>
          <w:sz w:val="28"/>
        </w:rPr>
        <w:tab/>
      </w:r>
      <w:r w:rsidRPr="00383859">
        <w:rPr>
          <w:rFonts w:ascii="Arial" w:eastAsia="標楷體" w:hAnsi="Arial" w:cs="Arial"/>
          <w:b/>
          <w:sz w:val="28"/>
        </w:rPr>
        <w:tab/>
      </w:r>
      <w:r w:rsidR="00E07642" w:rsidRPr="00383859">
        <w:rPr>
          <w:rFonts w:ascii="Arial" w:eastAsia="標楷體" w:hAnsi="Arial" w:cs="Arial"/>
          <w:b/>
          <w:sz w:val="28"/>
        </w:rPr>
        <w:tab/>
      </w:r>
      <w:r w:rsidRPr="00383859">
        <w:rPr>
          <w:rFonts w:ascii="Arial" w:eastAsia="標楷體" w:hAnsi="Arial" w:cs="Arial"/>
          <w:b/>
          <w:sz w:val="28"/>
        </w:rPr>
        <w:t>請填</w:t>
      </w:r>
      <w:r w:rsidR="00C05779" w:rsidRPr="00383859">
        <w:rPr>
          <w:rFonts w:ascii="Arial" w:eastAsia="標楷體" w:hAnsi="Arial" w:cs="Arial"/>
          <w:b/>
          <w:sz w:val="28"/>
        </w:rPr>
        <w:t>應試號碼</w:t>
      </w:r>
      <w:r w:rsidRPr="00383859">
        <w:rPr>
          <w:rFonts w:ascii="Arial" w:eastAsia="標楷體" w:hAnsi="Arial" w:cs="Arial"/>
          <w:b/>
          <w:sz w:val="28"/>
        </w:rPr>
        <w:t>：</w:t>
      </w:r>
      <w:r w:rsidRPr="00383859">
        <w:rPr>
          <w:rFonts w:ascii="Arial" w:eastAsia="標楷體" w:hAnsi="Arial" w:cs="Arial"/>
          <w:b/>
          <w:sz w:val="28"/>
          <w:u w:val="single"/>
        </w:rPr>
        <w:t xml:space="preserve">         </w:t>
      </w:r>
      <w:r w:rsidR="00E07642" w:rsidRPr="00383859">
        <w:rPr>
          <w:rFonts w:ascii="Arial" w:eastAsia="標楷體" w:hAnsi="Arial" w:cs="Arial"/>
          <w:b/>
          <w:sz w:val="28"/>
          <w:u w:val="single"/>
        </w:rPr>
        <w:t xml:space="preserve">    </w:t>
      </w:r>
      <w:r w:rsidRPr="00383859">
        <w:rPr>
          <w:rFonts w:ascii="Arial" w:eastAsia="標楷體" w:hAnsi="Arial" w:cs="Arial"/>
          <w:b/>
          <w:sz w:val="28"/>
          <w:u w:val="single"/>
        </w:rPr>
        <w:t xml:space="preserve">  </w:t>
      </w:r>
    </w:p>
    <w:p w:rsidR="00E758FF" w:rsidRPr="00383859" w:rsidRDefault="00790F83" w:rsidP="00383859">
      <w:pPr>
        <w:ind w:left="952" w:hangingChars="403" w:hanging="952"/>
        <w:rPr>
          <w:rFonts w:ascii="Arial" w:eastAsia="標楷體" w:hAnsi="Arial" w:cs="Arial"/>
          <w:b/>
          <w:spacing w:val="-2"/>
        </w:rPr>
      </w:pPr>
      <w:r w:rsidRPr="00383859">
        <w:rPr>
          <w:rFonts w:ascii="細明體" w:eastAsia="細明體" w:hAnsi="細明體" w:cs="細明體" w:hint="eastAsia"/>
          <w:b/>
          <w:spacing w:val="-2"/>
        </w:rPr>
        <w:t>※</w:t>
      </w:r>
      <w:r w:rsidRPr="00383859">
        <w:rPr>
          <w:rFonts w:ascii="Arial" w:eastAsia="標楷體" w:hAnsi="Arial" w:cs="Arial"/>
          <w:b/>
          <w:spacing w:val="-2"/>
        </w:rPr>
        <w:t>注意：考生請在「答案卡」上作答，共</w:t>
      </w:r>
      <w:r w:rsidRPr="00383859">
        <w:rPr>
          <w:rFonts w:ascii="Arial" w:eastAsia="標楷體" w:hAnsi="Arial" w:cs="Arial"/>
          <w:b/>
          <w:spacing w:val="-2"/>
        </w:rPr>
        <w:t>50</w:t>
      </w:r>
      <w:r w:rsidRPr="00383859">
        <w:rPr>
          <w:rFonts w:ascii="Arial" w:eastAsia="標楷體" w:hAnsi="Arial" w:cs="Arial"/>
          <w:b/>
          <w:spacing w:val="-2"/>
        </w:rPr>
        <w:t>題，每題</w:t>
      </w:r>
      <w:r w:rsidRPr="00383859">
        <w:rPr>
          <w:rFonts w:ascii="Arial" w:eastAsia="標楷體" w:hAnsi="Arial" w:cs="Arial"/>
          <w:b/>
          <w:spacing w:val="-2"/>
        </w:rPr>
        <w:t>2</w:t>
      </w:r>
      <w:r w:rsidRPr="00383859">
        <w:rPr>
          <w:rFonts w:ascii="Arial" w:eastAsia="標楷體" w:hAnsi="Arial" w:cs="Arial"/>
          <w:b/>
          <w:spacing w:val="-2"/>
        </w:rPr>
        <w:t>分，每一試題有</w:t>
      </w:r>
      <w:r w:rsidRPr="00383859">
        <w:rPr>
          <w:rFonts w:ascii="Arial" w:eastAsia="標楷體" w:hAnsi="Arial" w:cs="Arial"/>
          <w:b/>
          <w:spacing w:val="-2"/>
        </w:rPr>
        <w:t>(A)(B)(C)(D)</w:t>
      </w:r>
      <w:r w:rsidRPr="00383859">
        <w:rPr>
          <w:rFonts w:ascii="Arial" w:eastAsia="標楷體" w:hAnsi="Arial" w:cs="Arial"/>
          <w:b/>
          <w:spacing w:val="-2"/>
        </w:rPr>
        <w:t>選項，本測驗為單一選擇題，請依題意選出一個正確或最適當的答案</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hint="eastAsia"/>
        </w:rPr>
        <w:t>依「證券交易法」第</w:t>
      </w:r>
      <w:r w:rsidRPr="004C0A42">
        <w:rPr>
          <w:rFonts w:ascii="Arial" w:eastAsia="標楷體" w:hAnsi="Arial" w:cs="Arial" w:hint="eastAsia"/>
        </w:rPr>
        <w:t>6</w:t>
      </w:r>
      <w:r w:rsidRPr="004C0A42">
        <w:rPr>
          <w:rFonts w:ascii="Arial" w:eastAsia="標楷體" w:hAnsi="Arial" w:cs="Arial" w:hint="eastAsia"/>
        </w:rPr>
        <w:t>條規定，下列何者視為有價證券？</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hint="eastAsia"/>
        </w:rPr>
        <w:t>(A)</w:t>
      </w:r>
      <w:r w:rsidRPr="00D3492D">
        <w:rPr>
          <w:rFonts w:ascii="Arial" w:eastAsia="標楷體" w:hAnsi="Arial" w:cs="Arial" w:hint="eastAsia"/>
        </w:rPr>
        <w:t>利率交換契約</w:t>
      </w:r>
      <w:r w:rsidRPr="00D3492D">
        <w:rPr>
          <w:rFonts w:ascii="Arial" w:eastAsia="標楷體" w:hAnsi="Arial" w:cs="Arial" w:hint="eastAsia"/>
        </w:rPr>
        <w:tab/>
        <w:t>(B)</w:t>
      </w:r>
      <w:r w:rsidRPr="00D3492D">
        <w:rPr>
          <w:rFonts w:ascii="Arial" w:eastAsia="標楷體" w:hAnsi="Arial" w:cs="Arial" w:hint="eastAsia"/>
        </w:rPr>
        <w:t>匯票</w:t>
      </w:r>
      <w:r w:rsidRPr="00D3492D">
        <w:rPr>
          <w:rFonts w:ascii="Arial" w:eastAsia="標楷體" w:hAnsi="Arial" w:cs="Arial" w:hint="eastAsia"/>
        </w:rPr>
        <w:tab/>
        <w:t>(C)</w:t>
      </w:r>
      <w:r w:rsidRPr="00D3492D">
        <w:rPr>
          <w:rFonts w:ascii="Arial" w:eastAsia="標楷體" w:hAnsi="Arial" w:cs="Arial" w:hint="eastAsia"/>
        </w:rPr>
        <w:t>支票</w:t>
      </w:r>
      <w:r w:rsidRPr="00D3492D">
        <w:rPr>
          <w:rFonts w:ascii="Arial" w:eastAsia="標楷體" w:hAnsi="Arial" w:cs="Arial" w:hint="eastAsia"/>
        </w:rPr>
        <w:tab/>
        <w:t>(D)</w:t>
      </w:r>
      <w:r w:rsidRPr="00D3492D">
        <w:rPr>
          <w:rFonts w:ascii="Arial" w:eastAsia="標楷體" w:hAnsi="Arial" w:cs="Arial" w:hint="eastAsia"/>
        </w:rPr>
        <w:t>新股權利證書</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依公司法規定，持有已發行股份總數</w:t>
      </w:r>
      <w:r w:rsidRPr="004C0A42">
        <w:rPr>
          <w:rFonts w:ascii="Arial" w:eastAsia="標楷體" w:hAnsi="Arial" w:cs="Arial" w:hint="eastAsia"/>
        </w:rPr>
        <w:t>超過</w:t>
      </w:r>
      <w:r w:rsidRPr="004C0A42">
        <w:rPr>
          <w:rFonts w:ascii="Arial" w:eastAsia="標楷體" w:hAnsi="Arial" w:cs="Arial"/>
        </w:rPr>
        <w:t>百分之</w:t>
      </w:r>
      <w:r w:rsidRPr="004C0A42">
        <w:rPr>
          <w:rFonts w:ascii="Arial" w:eastAsia="標楷體" w:hAnsi="Arial" w:cs="Arial"/>
        </w:rPr>
        <w:t>__</w:t>
      </w:r>
      <w:r w:rsidRPr="004C0A42">
        <w:rPr>
          <w:rFonts w:ascii="Arial" w:eastAsia="標楷體" w:hAnsi="Arial" w:cs="Arial"/>
        </w:rPr>
        <w:t>之股東，須申報至中央主管機關建置或指定之資訊平</w:t>
      </w:r>
      <w:proofErr w:type="gramStart"/>
      <w:r w:rsidRPr="004C0A42">
        <w:rPr>
          <w:rFonts w:ascii="Arial" w:eastAsia="標楷體" w:hAnsi="Arial" w:cs="Arial"/>
        </w:rPr>
        <w:t>臺</w:t>
      </w:r>
      <w:proofErr w:type="gramEnd"/>
      <w:r w:rsidRPr="004C0A42">
        <w:rPr>
          <w:rFonts w:ascii="Arial" w:eastAsia="標楷體" w:hAnsi="Arial" w:cs="Arial"/>
        </w:rPr>
        <w:t>；其有變動，應於變動後</w:t>
      </w:r>
      <w:r w:rsidRPr="004C0A42">
        <w:rPr>
          <w:rFonts w:ascii="Arial" w:eastAsia="標楷體" w:hAnsi="Arial" w:cs="Arial"/>
        </w:rPr>
        <w:t>__</w:t>
      </w:r>
      <w:r w:rsidRPr="004C0A42">
        <w:rPr>
          <w:rFonts w:ascii="Arial" w:eastAsia="標楷體" w:hAnsi="Arial" w:cs="Arial"/>
        </w:rPr>
        <w:t>日內為之</w:t>
      </w:r>
      <w:r w:rsidR="00D7662C" w:rsidRPr="00D7662C">
        <w:rPr>
          <w:rFonts w:ascii="Arial" w:eastAsia="標楷體" w:hAnsi="Arial" w:cs="Arial" w:hint="eastAsia"/>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十，十五</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十，十</w:t>
      </w:r>
      <w:r w:rsid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十五，十五</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十五，十</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下列關於公司負責人之敘述，何者錯誤</w:t>
      </w:r>
      <w:r w:rsidRPr="004C0A42">
        <w:rPr>
          <w:rFonts w:ascii="Arial" w:eastAsia="標楷體" w:hAnsi="Arial" w:cs="Arial"/>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公司之非董事，而實質上執行董事業務，與公司法</w:t>
      </w:r>
      <w:proofErr w:type="gramStart"/>
      <w:r w:rsidRPr="00D3492D">
        <w:rPr>
          <w:rFonts w:ascii="Arial" w:eastAsia="標楷體" w:hAnsi="Arial" w:cs="Arial"/>
        </w:rPr>
        <w:t>董事同負民事</w:t>
      </w:r>
      <w:proofErr w:type="gramEnd"/>
      <w:r w:rsidRPr="00D3492D">
        <w:rPr>
          <w:rFonts w:ascii="Arial" w:eastAsia="標楷體" w:hAnsi="Arial" w:cs="Arial"/>
        </w:rPr>
        <w:t>、刑事及行政罰之責任</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在執行職務範圍內，公司之清算人為公司負責人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有限公司、股份有限公司之負責人為董事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重整監督人在執行職務範圍時，不屬於公司負責人</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已依證交法發行之公司得於一定條件下對特定人招募有價證券，稱之為何種行為？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私募</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公開募集</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發行</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掛牌</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「證券交易法」所謂之公開說明書，其應記載事項由何單位訂定之？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證券商業同業公會</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金融監督管理委員會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臺灣證券交易所</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證券承銷商</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公開發行公司內部稽核單位作成之稽核報告、工作底稿及相關資料應至少保存幾年？</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三年</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四年</w:t>
      </w:r>
      <w:r w:rsidR="007702A3">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五年</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七年</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上市公司持股超過百分之十之大股東，得於申報之日起幾日後，依主管機關所定持有期間及每一交易日得轉讓數量比例在集中市場轉讓持股？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二日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三日</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四日</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五日</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證券商從事具有股權性質之投資，其轉投資總金額不得超過證券商淨值百分之多少？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二十</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四十</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五十</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七十</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為促進我國普惠金融與金融科技發展，下列何者可依金融科技發展與創新實驗條例申請辦理證券業務創新實驗？</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證券商</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證券金融事業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科技業</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以上皆可進行申請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依「證券交易法」發行之有價證券，其發行人如欲申請上市，應向何者申請？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金融監督管理委員會</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臺灣證券交易所</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證券櫃檯買賣中心</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證券商業同業公會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證券投資人及期貨交易人保護基金對每家證券商每一證券投資人一次之償付金額，以新臺幣多少為上限？</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proofErr w:type="gramStart"/>
      <w:r w:rsidRPr="00D3492D">
        <w:rPr>
          <w:rFonts w:ascii="Arial" w:eastAsia="標楷體" w:hAnsi="Arial" w:cs="Arial"/>
        </w:rPr>
        <w:t>一</w:t>
      </w:r>
      <w:proofErr w:type="gramEnd"/>
      <w:r w:rsidRPr="00D3492D">
        <w:rPr>
          <w:rFonts w:ascii="Arial" w:eastAsia="標楷體" w:hAnsi="Arial" w:cs="Arial"/>
        </w:rPr>
        <w:t>百萬元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三百萬元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一千萬元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依其實際損失而定</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公司買回股份應自申報日起多久執行完畢？</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一個月</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二個月</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三個月</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四個月</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依「公司法」規定，董事任期不得超過幾年，但連選得連任？</w:t>
      </w:r>
    </w:p>
    <w:p w:rsidR="004C0A42" w:rsidRPr="00D7662C"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w:t>
      </w:r>
      <w:r w:rsidRPr="00D3492D">
        <w:rPr>
          <w:rFonts w:ascii="Arial" w:eastAsia="標楷體" w:hAnsi="Arial" w:cs="Arial" w:hint="eastAsia"/>
        </w:rPr>
        <w:t>A</w:t>
      </w:r>
      <w:r w:rsidRPr="00D3492D">
        <w:rPr>
          <w:rFonts w:ascii="Arial" w:eastAsia="標楷體" w:hAnsi="Arial" w:cs="Arial"/>
        </w:rPr>
        <w:t>)</w:t>
      </w:r>
      <w:r w:rsidRPr="00D3492D">
        <w:rPr>
          <w:rFonts w:ascii="Arial" w:eastAsia="標楷體" w:hAnsi="Arial" w:cs="Arial"/>
        </w:rPr>
        <w:t>一年</w:t>
      </w:r>
      <w:r w:rsidRPr="00D3492D">
        <w:rPr>
          <w:rFonts w:ascii="Arial" w:eastAsia="標楷體" w:hAnsi="Arial" w:cs="Arial" w:hint="eastAsia"/>
        </w:rPr>
        <w:tab/>
      </w:r>
      <w:r w:rsidRPr="00D3492D">
        <w:rPr>
          <w:rFonts w:ascii="Arial" w:eastAsia="標楷體" w:hAnsi="Arial" w:cs="Arial"/>
        </w:rPr>
        <w:t>(</w:t>
      </w:r>
      <w:r w:rsidRPr="00D3492D">
        <w:rPr>
          <w:rFonts w:ascii="Arial" w:eastAsia="標楷體" w:hAnsi="Arial" w:cs="Arial" w:hint="eastAsia"/>
        </w:rPr>
        <w:t>B</w:t>
      </w:r>
      <w:r w:rsidRPr="00D3492D">
        <w:rPr>
          <w:rFonts w:ascii="Arial" w:eastAsia="標楷體" w:hAnsi="Arial" w:cs="Arial"/>
        </w:rPr>
        <w:t>)</w:t>
      </w:r>
      <w:r w:rsidRPr="00D3492D">
        <w:rPr>
          <w:rFonts w:ascii="Arial" w:eastAsia="標楷體" w:hAnsi="Arial" w:cs="Arial"/>
        </w:rPr>
        <w:t>二年</w:t>
      </w:r>
      <w:r w:rsidRPr="00D3492D">
        <w:rPr>
          <w:rFonts w:ascii="Arial" w:eastAsia="標楷體" w:hAnsi="Arial" w:cs="Arial" w:hint="eastAsia"/>
        </w:rPr>
        <w:tab/>
      </w:r>
      <w:r w:rsidRPr="00D3492D">
        <w:rPr>
          <w:rFonts w:ascii="Arial" w:eastAsia="標楷體" w:hAnsi="Arial" w:cs="Arial"/>
        </w:rPr>
        <w:t>(</w:t>
      </w:r>
      <w:r w:rsidRPr="00D3492D">
        <w:rPr>
          <w:rFonts w:ascii="Arial" w:eastAsia="標楷體" w:hAnsi="Arial" w:cs="Arial" w:hint="eastAsia"/>
        </w:rPr>
        <w:t>C</w:t>
      </w:r>
      <w:r w:rsidRPr="00D3492D">
        <w:rPr>
          <w:rFonts w:ascii="Arial" w:eastAsia="標楷體" w:hAnsi="Arial" w:cs="Arial"/>
        </w:rPr>
        <w:t>)</w:t>
      </w:r>
      <w:r w:rsidRPr="00D3492D">
        <w:rPr>
          <w:rFonts w:ascii="Arial" w:eastAsia="標楷體" w:hAnsi="Arial" w:cs="Arial"/>
        </w:rPr>
        <w:t>三年</w:t>
      </w:r>
      <w:r w:rsidRPr="00D3492D">
        <w:rPr>
          <w:rFonts w:ascii="Arial" w:eastAsia="標楷體" w:hAnsi="Arial" w:cs="Arial" w:hint="eastAsia"/>
        </w:rPr>
        <w:tab/>
      </w:r>
      <w:r w:rsidRPr="00D3492D">
        <w:rPr>
          <w:rFonts w:ascii="Arial" w:eastAsia="標楷體" w:hAnsi="Arial" w:cs="Arial"/>
        </w:rPr>
        <w:t>(</w:t>
      </w:r>
      <w:r w:rsidRPr="00D3492D">
        <w:rPr>
          <w:rFonts w:ascii="Arial" w:eastAsia="標楷體" w:hAnsi="Arial" w:cs="Arial" w:hint="eastAsia"/>
        </w:rPr>
        <w:t>D</w:t>
      </w:r>
      <w:r w:rsidRPr="00D3492D">
        <w:rPr>
          <w:rFonts w:ascii="Arial" w:eastAsia="標楷體" w:hAnsi="Arial" w:cs="Arial"/>
        </w:rPr>
        <w:t>)</w:t>
      </w:r>
      <w:r w:rsidRPr="00D3492D">
        <w:rPr>
          <w:rFonts w:ascii="Arial" w:eastAsia="標楷體" w:hAnsi="Arial" w:cs="Arial"/>
        </w:rPr>
        <w:t>四年</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股東會決議對董事提起訴訟，公司應自決議之日起多久時間內提起？</w:t>
      </w:r>
      <w:r w:rsidR="000357A5" w:rsidRPr="004C0A42">
        <w:rPr>
          <w:rFonts w:ascii="Arial" w:eastAsia="標楷體" w:hAnsi="Arial" w:cs="Arial"/>
        </w:rPr>
        <w:t xml:space="preserve"> </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三十日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六十日</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九十日</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六個月</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lastRenderedPageBreak/>
        <w:t>已設置審計委員會之公開發行公司，依法應經審計委員會決議之特定事項，應得全體委員多少比例之同意？</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四分之三</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三分之二</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二分之一</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全體成員</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依現行「證券交易法」之規定，公司設置審計委員會者，其成員為何？</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獨立董事三人與常務董事二人</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獨立董事一人與常務董事二人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獨立董事二人與常務董事一人</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由全體獨立董事組成</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發行人交付之公開說明書因內容虛偽、隱匿而致生損害善意相對人者，其民事制度</w:t>
      </w:r>
      <w:proofErr w:type="gramStart"/>
      <w:r w:rsidRPr="004C0A42">
        <w:rPr>
          <w:rFonts w:ascii="Arial" w:eastAsia="標楷體" w:hAnsi="Arial" w:cs="Arial"/>
        </w:rPr>
        <w:t>採</w:t>
      </w:r>
      <w:proofErr w:type="gramEnd"/>
      <w:r w:rsidRPr="004C0A42">
        <w:rPr>
          <w:rFonts w:ascii="Arial" w:eastAsia="標楷體" w:hAnsi="Arial" w:cs="Arial"/>
        </w:rPr>
        <w:t>下列何種責任？</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單獨賠償責任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區別賠償責任</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連帶賠償責任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懲罰性賠償責任</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某公開發行公司對於其董事、監察人、經理人及大股東持股之異動申報，並未依「證券交易法」第二十五條第二項之規定，於每月十五日以前，彙</w:t>
      </w:r>
      <w:proofErr w:type="gramStart"/>
      <w:r w:rsidRPr="004C0A42">
        <w:rPr>
          <w:rFonts w:ascii="Arial" w:eastAsia="標楷體" w:hAnsi="Arial" w:cs="Arial"/>
        </w:rPr>
        <w:t>總向</w:t>
      </w:r>
      <w:proofErr w:type="gramEnd"/>
      <w:r w:rsidRPr="004C0A42">
        <w:rPr>
          <w:rFonts w:ascii="Arial" w:eastAsia="標楷體" w:hAnsi="Arial" w:cs="Arial"/>
        </w:rPr>
        <w:t>主管機關申報，則主管機關每次得對該公司處新臺幣多少元之行政罰鍰？</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新臺幣二萬元以上，新臺幣十萬元以下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新臺幣四萬元以上，新臺幣二十萬元以下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新臺幣六萬元以上，新臺幣三十萬元以下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新臺幣二十四萬元以上，新臺幣四百八十萬元以下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證券商業務人員有異動者，應於何時向證券交易所（或證券櫃檯買賣中心）、證券商業同業公會申報登記？</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次月十日前</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異動後十日內</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每月五日前</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異動後五日內</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證券商每一分支機構經營期貨交易輔助業務，應繳存營業保證金新臺幣多少元？</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proofErr w:type="gramStart"/>
      <w:r w:rsidRPr="00D3492D">
        <w:rPr>
          <w:rFonts w:ascii="Arial" w:eastAsia="標楷體" w:hAnsi="Arial" w:cs="Arial"/>
        </w:rPr>
        <w:t>一</w:t>
      </w:r>
      <w:proofErr w:type="gramEnd"/>
      <w:r w:rsidRPr="00D3492D">
        <w:rPr>
          <w:rFonts w:ascii="Arial" w:eastAsia="標楷體" w:hAnsi="Arial" w:cs="Arial"/>
        </w:rPr>
        <w:t>百萬元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三百萬元</w:t>
      </w:r>
    </w:p>
    <w:p w:rsidR="004C0A42" w:rsidRPr="00D7662C"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五百萬元</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一千萬元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公司制證券交易所之董事、監察人至少有多少名額由主管機關指派非股東之有關專家任之？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五分之一</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四分之一</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三分之一</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二分之一</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依現行法規規定，每一證券交易所以開設幾個有價證券集中交易市場為限？</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三個</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二個</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一個</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無限制</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於證券集中保管事業開設帳戶，送存證券並辦理帳簿劃撥之人，稱之為：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委託人</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參加人</w:t>
      </w:r>
      <w:r w:rsidR="000357A5">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受益人</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保管人</w:t>
      </w:r>
    </w:p>
    <w:p w:rsidR="004C0A42" w:rsidRPr="004C0A42" w:rsidRDefault="004C0A42" w:rsidP="004C0A42">
      <w:pPr>
        <w:numPr>
          <w:ilvl w:val="0"/>
          <w:numId w:val="5"/>
        </w:numPr>
        <w:snapToGrid w:val="0"/>
        <w:spacing w:before="60" w:after="60" w:line="300" w:lineRule="exact"/>
        <w:ind w:left="426" w:hanging="426"/>
        <w:rPr>
          <w:rFonts w:ascii="Arial" w:eastAsia="標楷體" w:hAnsi="Arial" w:cs="Arial"/>
        </w:rPr>
      </w:pPr>
      <w:r w:rsidRPr="004C0A42">
        <w:rPr>
          <w:rFonts w:ascii="Arial" w:eastAsia="標楷體" w:hAnsi="Arial" w:cs="Arial"/>
        </w:rPr>
        <w:t>提起撤銷仲裁判斷之訴，應於判斷書交付或送達之日起多久期間內為之？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五日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十日</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二十日</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三十日</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證券交易所</w:t>
      </w:r>
      <w:proofErr w:type="gramStart"/>
      <w:r w:rsidRPr="004C0A42">
        <w:rPr>
          <w:rFonts w:ascii="Arial" w:eastAsia="標楷體" w:hAnsi="Arial" w:cs="Arial"/>
        </w:rPr>
        <w:t>應向何者繳存</w:t>
      </w:r>
      <w:proofErr w:type="gramEnd"/>
      <w:r w:rsidRPr="004C0A42">
        <w:rPr>
          <w:rFonts w:ascii="Arial" w:eastAsia="標楷體" w:hAnsi="Arial" w:cs="Arial"/>
        </w:rPr>
        <w:t>營業保證金？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臺灣銀行</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金融監督管理委員會指定之銀行</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國庫</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中央銀行</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完成有價證券募集之申報程序，可否藉以作為證實申報事項或保證證券價值之宣傳？</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經主管機關核准後才可以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有承銷商評估報告者可以</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(C)</w:t>
      </w:r>
      <w:r w:rsidRPr="00D3492D">
        <w:rPr>
          <w:rFonts w:ascii="Arial" w:eastAsia="標楷體" w:hAnsi="Arial" w:cs="Arial"/>
        </w:rPr>
        <w:t>可以</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不可以</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ETF</w:t>
      </w:r>
      <w:r w:rsidRPr="004C0A42">
        <w:rPr>
          <w:rFonts w:ascii="Arial" w:eastAsia="標楷體" w:hAnsi="Arial" w:cs="Arial"/>
        </w:rPr>
        <w:t>是否可以配息？</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僅分配現金股利</w:t>
      </w:r>
      <w:r w:rsidRPr="00D3492D">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可分配現金股利及股票股利</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僅分配股票股利</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不可參與配息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下列何者為被動式操作管理之基金</w:t>
      </w:r>
      <w:r w:rsidR="00D7662C" w:rsidRPr="00D7662C">
        <w:rPr>
          <w:rFonts w:ascii="Arial" w:eastAsia="標楷體" w:hAnsi="Arial" w:cs="Arial" w:hint="eastAsia"/>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指數型基金</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指數股票型基金</w:t>
      </w:r>
      <w:r w:rsidRPr="00D3492D">
        <w:rPr>
          <w:rFonts w:ascii="Arial" w:eastAsia="標楷體" w:hAnsi="Arial" w:cs="Arial"/>
        </w:rPr>
        <w:t>(ETF)</w:t>
      </w:r>
    </w:p>
    <w:p w:rsidR="000357A5" w:rsidRPr="00D3492D" w:rsidRDefault="004C0A42" w:rsidP="002248CB">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(C)ETF</w:t>
      </w:r>
      <w:r w:rsidRPr="00D3492D">
        <w:rPr>
          <w:rFonts w:ascii="Arial" w:eastAsia="標楷體" w:hAnsi="Arial" w:cs="Arial"/>
        </w:rPr>
        <w:t>連結基金</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lastRenderedPageBreak/>
        <w:t>以電子方式行使表決權而未親自出席股東會的股東，在表決以下何種議案時會被計為棄權</w:t>
      </w:r>
      <w:r w:rsidR="00D7662C" w:rsidRPr="00D7662C">
        <w:rPr>
          <w:rFonts w:ascii="Arial" w:eastAsia="標楷體" w:hAnsi="Arial" w:cs="Arial" w:hint="eastAsia"/>
        </w:rPr>
        <w:t>？</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臨時動議</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原議案之修正</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(C)</w:t>
      </w:r>
      <w:r w:rsidRPr="00D3492D">
        <w:rPr>
          <w:rFonts w:ascii="Arial" w:eastAsia="標楷體" w:hAnsi="Arial" w:cs="Arial"/>
        </w:rPr>
        <w:t>對各項議案內容沒有表示贊成或反對時</w:t>
      </w:r>
    </w:p>
    <w:p w:rsidR="002248CB"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以上皆是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代辦股</w:t>
      </w:r>
      <w:proofErr w:type="gramStart"/>
      <w:r w:rsidRPr="004C0A42">
        <w:rPr>
          <w:rFonts w:ascii="Arial" w:eastAsia="標楷體" w:hAnsi="Arial" w:cs="Arial"/>
        </w:rPr>
        <w:t>務</w:t>
      </w:r>
      <w:proofErr w:type="gramEnd"/>
      <w:r w:rsidRPr="004C0A42">
        <w:rPr>
          <w:rFonts w:ascii="Arial" w:eastAsia="標楷體" w:hAnsi="Arial" w:cs="Arial"/>
        </w:rPr>
        <w:t>之機構須配置哪種設備？</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電腦設備</w:t>
      </w:r>
      <w:r w:rsidR="000357A5">
        <w:rPr>
          <w:rFonts w:ascii="Arial" w:eastAsia="標楷體" w:hAnsi="Arial" w:cs="Arial" w:hint="eastAsia"/>
        </w:rPr>
        <w:tab/>
      </w:r>
      <w:r w:rsidR="000357A5">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印鑑比對系統</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具防火、防水、防盜功能之金庫</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證券商受</w:t>
      </w:r>
      <w:proofErr w:type="gramStart"/>
      <w:r w:rsidRPr="004C0A42">
        <w:rPr>
          <w:rFonts w:ascii="Arial" w:eastAsia="標楷體" w:hAnsi="Arial" w:cs="Arial"/>
        </w:rPr>
        <w:t>僱</w:t>
      </w:r>
      <w:proofErr w:type="gramEnd"/>
      <w:r w:rsidRPr="004C0A42">
        <w:rPr>
          <w:rFonts w:ascii="Arial" w:eastAsia="標楷體" w:hAnsi="Arial" w:cs="Arial"/>
        </w:rPr>
        <w:t>人對外執行業務及在集中交易市場所為之一切行為，證券商應負何種責任？</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部分責任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無須負責</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完全責任</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可負可不負</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集中交易市場零股交易每日升降幅度為何？</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(A)3%</w:t>
      </w:r>
      <w:r w:rsidRPr="00D3492D">
        <w:rPr>
          <w:rFonts w:ascii="Arial" w:eastAsia="標楷體" w:hAnsi="Arial" w:cs="Arial" w:hint="eastAsia"/>
        </w:rPr>
        <w:tab/>
      </w:r>
      <w:r w:rsidRPr="00D3492D">
        <w:rPr>
          <w:rFonts w:ascii="Arial" w:eastAsia="標楷體" w:hAnsi="Arial" w:cs="Arial"/>
        </w:rPr>
        <w:t>(B)2%</w:t>
      </w:r>
      <w:r w:rsidRPr="00D3492D">
        <w:rPr>
          <w:rFonts w:ascii="Arial" w:eastAsia="標楷體" w:hAnsi="Arial" w:cs="Arial" w:hint="eastAsia"/>
        </w:rPr>
        <w:tab/>
      </w:r>
      <w:r w:rsidRPr="00D3492D">
        <w:rPr>
          <w:rFonts w:ascii="Arial" w:eastAsia="標楷體" w:hAnsi="Arial" w:cs="Arial"/>
        </w:rPr>
        <w:t>(C)10%</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未限制</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依「證券交易法」規定，在公司制證券交易所買賣限於何</w:t>
      </w:r>
      <w:r w:rsidR="0030173E">
        <w:rPr>
          <w:rFonts w:ascii="Arial" w:eastAsia="標楷體" w:hAnsi="Arial" w:cs="Arial" w:hint="eastAsia"/>
        </w:rPr>
        <w:t>者</w:t>
      </w:r>
      <w:r w:rsidRPr="004C0A42">
        <w:rPr>
          <w:rFonts w:ascii="Arial" w:eastAsia="標楷體" w:hAnsi="Arial" w:cs="Arial"/>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訂有使用有價證券集中交易市場契約之證券自營商或證券經紀商</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機構投資人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0030173E">
        <w:rPr>
          <w:rFonts w:ascii="Arial" w:eastAsia="標楷體" w:hAnsi="Arial" w:cs="Arial" w:hint="eastAsia"/>
        </w:rPr>
        <w:t>已開戶之自然人</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有行為能力之</w:t>
      </w:r>
      <w:r w:rsidR="00D7662C">
        <w:rPr>
          <w:rFonts w:ascii="Arial" w:eastAsia="標楷體" w:hAnsi="Arial" w:cs="Arial" w:hint="eastAsia"/>
        </w:rPr>
        <w:t>投資</w:t>
      </w:r>
      <w:r w:rsidRPr="00D3492D">
        <w:rPr>
          <w:rFonts w:ascii="Arial" w:eastAsia="標楷體" w:hAnsi="Arial" w:cs="Arial"/>
        </w:rPr>
        <w:t>人</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下列何種人員不得進入集中交易市場？</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主管機關派任之監理人員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經向證交所登記准予進入市場之證券商業務人員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證交所之場</w:t>
      </w:r>
      <w:proofErr w:type="gramStart"/>
      <w:r w:rsidRPr="00D3492D">
        <w:rPr>
          <w:rFonts w:ascii="Arial" w:eastAsia="標楷體" w:hAnsi="Arial" w:cs="Arial"/>
        </w:rPr>
        <w:t>務</w:t>
      </w:r>
      <w:proofErr w:type="gramEnd"/>
      <w:r w:rsidRPr="00D3492D">
        <w:rPr>
          <w:rFonts w:ascii="Arial" w:eastAsia="標楷體" w:hAnsi="Arial" w:cs="Arial"/>
        </w:rPr>
        <w:t>執行人員暨場</w:t>
      </w:r>
      <w:proofErr w:type="gramStart"/>
      <w:r w:rsidRPr="00D3492D">
        <w:rPr>
          <w:rFonts w:ascii="Arial" w:eastAsia="標楷體" w:hAnsi="Arial" w:cs="Arial"/>
        </w:rPr>
        <w:t>務</w:t>
      </w:r>
      <w:proofErr w:type="gramEnd"/>
      <w:r w:rsidRPr="00D3492D">
        <w:rPr>
          <w:rFonts w:ascii="Arial" w:eastAsia="標楷體" w:hAnsi="Arial" w:cs="Arial"/>
        </w:rPr>
        <w:t>工作人員</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證券商業同業公會派駐人員</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證交所買賣申報之競價方式為</w:t>
      </w:r>
      <w:r w:rsidR="00D7662C" w:rsidRPr="00D7662C">
        <w:rPr>
          <w:rFonts w:ascii="Arial" w:eastAsia="標楷體" w:hAnsi="Arial" w:cs="Arial" w:hint="eastAsia"/>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集合競</w:t>
      </w:r>
      <w:proofErr w:type="gramStart"/>
      <w:r w:rsidRPr="00D3492D">
        <w:rPr>
          <w:rFonts w:ascii="Arial" w:eastAsia="標楷體" w:hAnsi="Arial" w:cs="Arial"/>
        </w:rPr>
        <w:t>價及逐筆</w:t>
      </w:r>
      <w:proofErr w:type="gramEnd"/>
      <w:r w:rsidRPr="00D3492D">
        <w:rPr>
          <w:rFonts w:ascii="Arial" w:eastAsia="標楷體" w:hAnsi="Arial" w:cs="Arial"/>
        </w:rPr>
        <w:t>交易</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逐筆交易及連續競價</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集合競價及連續競價</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協議競</w:t>
      </w:r>
      <w:proofErr w:type="gramStart"/>
      <w:r w:rsidRPr="00D3492D">
        <w:rPr>
          <w:rFonts w:ascii="Arial" w:eastAsia="標楷體" w:hAnsi="Arial" w:cs="Arial"/>
        </w:rPr>
        <w:t>價及逐筆</w:t>
      </w:r>
      <w:proofErr w:type="gramEnd"/>
      <w:r w:rsidRPr="00D3492D">
        <w:rPr>
          <w:rFonts w:ascii="Arial" w:eastAsia="標楷體" w:hAnsi="Arial" w:cs="Arial"/>
        </w:rPr>
        <w:t>交易</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櫃檯買賣股票於證券商營業處所議價買賣之交易時間為何？</w:t>
      </w:r>
    </w:p>
    <w:p w:rsidR="00EC007B"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週一至週五每日</w:t>
      </w:r>
      <w:r w:rsidRPr="00D3492D">
        <w:rPr>
          <w:rFonts w:ascii="Arial" w:eastAsia="標楷體" w:hAnsi="Arial" w:cs="Arial"/>
        </w:rPr>
        <w:t>9:00</w:t>
      </w:r>
      <w:r w:rsidRPr="00D3492D">
        <w:rPr>
          <w:rFonts w:ascii="Arial" w:eastAsia="標楷體" w:hAnsi="Arial" w:cs="Arial"/>
        </w:rPr>
        <w:t>～</w:t>
      </w:r>
      <w:r w:rsidRPr="00D3492D">
        <w:rPr>
          <w:rFonts w:ascii="Arial" w:eastAsia="標楷體" w:hAnsi="Arial" w:cs="Arial"/>
        </w:rPr>
        <w:t>12:00</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週一至週五每日</w:t>
      </w:r>
      <w:r w:rsidRPr="00D3492D">
        <w:rPr>
          <w:rFonts w:ascii="Arial" w:eastAsia="標楷體" w:hAnsi="Arial" w:cs="Arial"/>
        </w:rPr>
        <w:t>9:00</w:t>
      </w:r>
      <w:r w:rsidRPr="00D3492D">
        <w:rPr>
          <w:rFonts w:ascii="Arial" w:eastAsia="標楷體" w:hAnsi="Arial" w:cs="Arial"/>
        </w:rPr>
        <w:t>～</w:t>
      </w:r>
      <w:r w:rsidRPr="00D3492D">
        <w:rPr>
          <w:rFonts w:ascii="Arial" w:eastAsia="標楷體" w:hAnsi="Arial" w:cs="Arial"/>
        </w:rPr>
        <w:t>13:30</w:t>
      </w:r>
    </w:p>
    <w:p w:rsidR="00EC007B"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(C)</w:t>
      </w:r>
      <w:r w:rsidRPr="00D3492D">
        <w:rPr>
          <w:rFonts w:ascii="Arial" w:eastAsia="標楷體" w:hAnsi="Arial" w:cs="Arial"/>
        </w:rPr>
        <w:t>週一至週五每日</w:t>
      </w:r>
      <w:r w:rsidRPr="00D3492D">
        <w:rPr>
          <w:rFonts w:ascii="Arial" w:eastAsia="標楷體" w:hAnsi="Arial" w:cs="Arial"/>
        </w:rPr>
        <w:t>9:00</w:t>
      </w:r>
      <w:r w:rsidRPr="00D3492D">
        <w:rPr>
          <w:rFonts w:ascii="Arial" w:eastAsia="標楷體" w:hAnsi="Arial" w:cs="Arial"/>
        </w:rPr>
        <w:t>～</w:t>
      </w:r>
      <w:r w:rsidRPr="00D3492D">
        <w:rPr>
          <w:rFonts w:ascii="Arial" w:eastAsia="標楷體" w:hAnsi="Arial" w:cs="Arial"/>
        </w:rPr>
        <w:t>15:00</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每日</w:t>
      </w:r>
      <w:r w:rsidRPr="00D3492D">
        <w:rPr>
          <w:rFonts w:ascii="Arial" w:eastAsia="標楷體" w:hAnsi="Arial" w:cs="Arial"/>
        </w:rPr>
        <w:t>13:40</w:t>
      </w:r>
      <w:r w:rsidRPr="00D3492D">
        <w:rPr>
          <w:rFonts w:ascii="Arial" w:eastAsia="標楷體" w:hAnsi="Arial" w:cs="Arial"/>
        </w:rPr>
        <w:t>～</w:t>
      </w:r>
      <w:r w:rsidRPr="00D3492D">
        <w:rPr>
          <w:rFonts w:ascii="Arial" w:eastAsia="標楷體" w:hAnsi="Arial" w:cs="Arial"/>
        </w:rPr>
        <w:t>15:00</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證券商非經何單位許可，並與中華民國證券櫃買中心簽訂證券商經營櫃檯買賣有價證券契約，不得經營櫃檯買賣業務？</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財政部</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金管會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中央銀行</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經濟部</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若參加證券櫃買中心債券等</w:t>
      </w:r>
      <w:proofErr w:type="gramStart"/>
      <w:r w:rsidRPr="004C0A42">
        <w:rPr>
          <w:rFonts w:ascii="Arial" w:eastAsia="標楷體" w:hAnsi="Arial" w:cs="Arial"/>
        </w:rPr>
        <w:t>殖</w:t>
      </w:r>
      <w:proofErr w:type="gramEnd"/>
      <w:r w:rsidRPr="004C0A42">
        <w:rPr>
          <w:rFonts w:ascii="Arial" w:eastAsia="標楷體" w:hAnsi="Arial" w:cs="Arial"/>
        </w:rPr>
        <w:t>成交系統，應以哪種方式為之？</w:t>
      </w:r>
    </w:p>
    <w:p w:rsidR="000357A5"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自營</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經紀</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議價</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選項</w:t>
      </w:r>
      <w:r w:rsidRPr="00D3492D">
        <w:rPr>
          <w:rFonts w:ascii="Arial" w:eastAsia="標楷體" w:hAnsi="Arial" w:cs="Arial"/>
        </w:rPr>
        <w:t>(A)(B)(C)</w:t>
      </w:r>
      <w:r w:rsidRPr="00D3492D">
        <w:rPr>
          <w:rFonts w:ascii="Arial" w:eastAsia="標楷體" w:hAnsi="Arial" w:cs="Arial"/>
        </w:rPr>
        <w:t>皆正確</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依證券交易法之規定，發行人何時需向公眾提出說明文書（公開說明書）？</w:t>
      </w:r>
    </w:p>
    <w:p w:rsidR="004C0A42"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募集或出賣有價證券</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財務預測公告</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財務報告公告</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重大資產處分公告</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發行人募集與發行有價證券處理準則所稱「營業日」係指：</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人事行政局所公布之上班日</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證券市場交易日</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國定假日</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以上皆非</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lastRenderedPageBreak/>
        <w:t>下列上市公司何者於最近一會計年度終了，應依規定編製與申報中文版本之企業社會責任報告書？</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食品工業、化學工業及金融保險業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依財務報告，餐飲收入占其全部營業收入之比率達</w:t>
      </w:r>
      <w:r w:rsidRPr="00D3492D">
        <w:rPr>
          <w:rFonts w:ascii="Arial" w:eastAsia="標楷體" w:hAnsi="Arial" w:cs="Arial"/>
        </w:rPr>
        <w:t>50%</w:t>
      </w:r>
      <w:r w:rsidRPr="00D3492D">
        <w:rPr>
          <w:rFonts w:ascii="Arial" w:eastAsia="標楷體" w:hAnsi="Arial" w:cs="Arial"/>
        </w:rPr>
        <w:t>以上者</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依財務報告，股本達新臺幣五十億元以上者</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選項</w:t>
      </w:r>
      <w:r w:rsidRPr="00D3492D">
        <w:rPr>
          <w:rFonts w:ascii="Arial" w:eastAsia="標楷體" w:hAnsi="Arial" w:cs="Arial"/>
        </w:rPr>
        <w:t>(A)(B)(C)</w:t>
      </w:r>
      <w:r w:rsidRPr="00D3492D">
        <w:rPr>
          <w:rFonts w:ascii="Arial" w:eastAsia="標楷體" w:hAnsi="Arial" w:cs="Arial"/>
        </w:rPr>
        <w:t>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買賣在我國上市之外國股票使用之貨幣，以何者為</w:t>
      </w:r>
      <w:proofErr w:type="gramStart"/>
      <w:r w:rsidRPr="004C0A42">
        <w:rPr>
          <w:rFonts w:ascii="Arial" w:eastAsia="標楷體" w:hAnsi="Arial" w:cs="Arial"/>
        </w:rPr>
        <w:t>準</w:t>
      </w:r>
      <w:proofErr w:type="gramEnd"/>
      <w:r w:rsidRPr="004C0A42">
        <w:rPr>
          <w:rFonts w:ascii="Arial" w:eastAsia="標楷體" w:hAnsi="Arial" w:cs="Arial"/>
        </w:rPr>
        <w:t>？</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中央銀行</w:t>
      </w:r>
      <w:proofErr w:type="gramStart"/>
      <w:r w:rsidRPr="00D3492D">
        <w:rPr>
          <w:rFonts w:ascii="Arial" w:eastAsia="標楷體" w:hAnsi="Arial" w:cs="Arial"/>
        </w:rPr>
        <w:t>同意之幣別</w:t>
      </w:r>
      <w:proofErr w:type="gramEnd"/>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w:t>
      </w:r>
      <w:proofErr w:type="gramStart"/>
      <w:r w:rsidRPr="00D3492D">
        <w:rPr>
          <w:rFonts w:ascii="Arial" w:eastAsia="標楷體" w:hAnsi="Arial" w:cs="Arial"/>
        </w:rPr>
        <w:t>期局同意之幣</w:t>
      </w:r>
      <w:proofErr w:type="gramEnd"/>
      <w:r w:rsidRPr="00D3492D">
        <w:rPr>
          <w:rFonts w:ascii="Arial" w:eastAsia="標楷體" w:hAnsi="Arial" w:cs="Arial"/>
        </w:rPr>
        <w:t>別</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財政部</w:t>
      </w:r>
      <w:proofErr w:type="gramStart"/>
      <w:r w:rsidRPr="00D3492D">
        <w:rPr>
          <w:rFonts w:ascii="Arial" w:eastAsia="標楷體" w:hAnsi="Arial" w:cs="Arial"/>
        </w:rPr>
        <w:t>同意之幣別</w:t>
      </w:r>
      <w:proofErr w:type="gramEnd"/>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外國發行人向證交所申請</w:t>
      </w:r>
      <w:proofErr w:type="gramStart"/>
      <w:r w:rsidRPr="00D3492D">
        <w:rPr>
          <w:rFonts w:ascii="Arial" w:eastAsia="標楷體" w:hAnsi="Arial" w:cs="Arial"/>
        </w:rPr>
        <w:t>上市之幣別</w:t>
      </w:r>
      <w:proofErr w:type="gramEnd"/>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證券所有人參加標借，應填寫標單，委託何者辦理？</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證券商</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證券金融事業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證交所</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證券商業同業公會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在辦理證券集中交割，證券商對證交所之應付有價證券，應於下列何時辦理交割？</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成交日當日</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成交日後第一個營業日</w:t>
      </w:r>
      <w:r w:rsidRPr="00D3492D">
        <w:rPr>
          <w:rFonts w:ascii="Arial" w:eastAsia="標楷體" w:hAnsi="Arial" w:cs="Arial"/>
        </w:rPr>
        <w:t>12:00</w:t>
      </w:r>
      <w:r w:rsidRPr="00D3492D">
        <w:rPr>
          <w:rFonts w:ascii="Arial" w:eastAsia="標楷體" w:hAnsi="Arial" w:cs="Arial"/>
        </w:rPr>
        <w:t>前</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成交日後第一個營業日</w:t>
      </w:r>
      <w:r w:rsidRPr="00D3492D">
        <w:rPr>
          <w:rFonts w:ascii="Arial" w:eastAsia="標楷體" w:hAnsi="Arial" w:cs="Arial"/>
        </w:rPr>
        <w:t>18:00</w:t>
      </w:r>
      <w:r w:rsidRPr="00D3492D">
        <w:rPr>
          <w:rFonts w:ascii="Arial" w:eastAsia="標楷體" w:hAnsi="Arial" w:cs="Arial"/>
        </w:rPr>
        <w:t>前</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成交日後第二</w:t>
      </w:r>
      <w:proofErr w:type="gramStart"/>
      <w:r w:rsidRPr="00D3492D">
        <w:rPr>
          <w:rFonts w:ascii="Arial" w:eastAsia="標楷體" w:hAnsi="Arial" w:cs="Arial"/>
        </w:rPr>
        <w:t>個</w:t>
      </w:r>
      <w:proofErr w:type="gramEnd"/>
      <w:r w:rsidRPr="00D3492D">
        <w:rPr>
          <w:rFonts w:ascii="Arial" w:eastAsia="標楷體" w:hAnsi="Arial" w:cs="Arial"/>
        </w:rPr>
        <w:t>營業日</w:t>
      </w:r>
      <w:r w:rsidRPr="00D3492D">
        <w:rPr>
          <w:rFonts w:ascii="Arial" w:eastAsia="標楷體" w:hAnsi="Arial" w:cs="Arial"/>
        </w:rPr>
        <w:t>10:00</w:t>
      </w:r>
      <w:r w:rsidRPr="00D3492D">
        <w:rPr>
          <w:rFonts w:ascii="Arial" w:eastAsia="標楷體" w:hAnsi="Arial" w:cs="Arial"/>
        </w:rPr>
        <w:t>前</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櫃檯買賣有價證券最近</w:t>
      </w:r>
      <w:r w:rsidRPr="004C0A42">
        <w:rPr>
          <w:rFonts w:ascii="Arial" w:eastAsia="標楷體" w:hAnsi="Arial" w:cs="Arial"/>
        </w:rPr>
        <w:t>30</w:t>
      </w:r>
      <w:r w:rsidRPr="004C0A42">
        <w:rPr>
          <w:rFonts w:ascii="Arial" w:eastAsia="標楷體" w:hAnsi="Arial" w:cs="Arial"/>
        </w:rPr>
        <w:t>個營業日內第一次被列為處置股票者，證券櫃買中心即於次一營業日起幾個營業日，對該有價證券</w:t>
      </w:r>
      <w:proofErr w:type="gramStart"/>
      <w:r w:rsidRPr="004C0A42">
        <w:rPr>
          <w:rFonts w:ascii="Arial" w:eastAsia="標楷體" w:hAnsi="Arial" w:cs="Arial"/>
        </w:rPr>
        <w:t>採</w:t>
      </w:r>
      <w:proofErr w:type="gramEnd"/>
      <w:r w:rsidRPr="004C0A42">
        <w:rPr>
          <w:rFonts w:ascii="Arial" w:eastAsia="標楷體" w:hAnsi="Arial" w:cs="Arial"/>
        </w:rPr>
        <w:t>行人工管制之撮合終端機執行撮合作業？</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(A)3</w:t>
      </w:r>
      <w:r w:rsidRPr="00D3492D">
        <w:rPr>
          <w:rFonts w:ascii="Arial" w:eastAsia="標楷體" w:hAnsi="Arial" w:cs="Arial"/>
        </w:rPr>
        <w:t>個</w:t>
      </w:r>
      <w:r w:rsidRPr="00D3492D">
        <w:rPr>
          <w:rFonts w:ascii="Arial" w:eastAsia="標楷體" w:hAnsi="Arial" w:cs="Arial" w:hint="eastAsia"/>
        </w:rPr>
        <w:tab/>
      </w:r>
      <w:r w:rsidRPr="00D3492D">
        <w:rPr>
          <w:rFonts w:ascii="Arial" w:eastAsia="標楷體" w:hAnsi="Arial" w:cs="Arial"/>
        </w:rPr>
        <w:t>(B)5</w:t>
      </w:r>
      <w:r w:rsidRPr="00D3492D">
        <w:rPr>
          <w:rFonts w:ascii="Arial" w:eastAsia="標楷體" w:hAnsi="Arial" w:cs="Arial"/>
        </w:rPr>
        <w:t>個</w:t>
      </w:r>
      <w:r w:rsidRPr="00D3492D">
        <w:rPr>
          <w:rFonts w:ascii="Arial" w:eastAsia="標楷體" w:hAnsi="Arial" w:cs="Arial" w:hint="eastAsia"/>
        </w:rPr>
        <w:tab/>
      </w:r>
      <w:r w:rsidRPr="00D3492D">
        <w:rPr>
          <w:rFonts w:ascii="Arial" w:eastAsia="標楷體" w:hAnsi="Arial" w:cs="Arial"/>
        </w:rPr>
        <w:t>(C)10</w:t>
      </w:r>
      <w:r w:rsidRPr="00D3492D">
        <w:rPr>
          <w:rFonts w:ascii="Arial" w:eastAsia="標楷體" w:hAnsi="Arial" w:cs="Arial"/>
        </w:rPr>
        <w:t>個</w:t>
      </w:r>
      <w:r w:rsidRPr="00D3492D">
        <w:rPr>
          <w:rFonts w:ascii="Arial" w:eastAsia="標楷體" w:hAnsi="Arial" w:cs="Arial" w:hint="eastAsia"/>
        </w:rPr>
        <w:tab/>
      </w:r>
      <w:r w:rsidRPr="00D3492D">
        <w:rPr>
          <w:rFonts w:ascii="Arial" w:eastAsia="標楷體" w:hAnsi="Arial" w:cs="Arial"/>
        </w:rPr>
        <w:t>(D)15</w:t>
      </w:r>
      <w:r w:rsidRPr="00D3492D">
        <w:rPr>
          <w:rFonts w:ascii="Arial" w:eastAsia="標楷體" w:hAnsi="Arial" w:cs="Arial"/>
        </w:rPr>
        <w:t>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股票申請上櫃者，至少須經幾家以上之證券商以書面推薦之？</w:t>
      </w:r>
    </w:p>
    <w:p w:rsidR="004C0A42" w:rsidRDefault="004C0A42" w:rsidP="00D7662C">
      <w:pPr>
        <w:tabs>
          <w:tab w:val="left" w:pos="2977"/>
          <w:tab w:val="left" w:pos="5387"/>
          <w:tab w:val="left" w:pos="7797"/>
        </w:tabs>
        <w:snapToGrid w:val="0"/>
        <w:spacing w:before="20" w:after="20" w:line="300" w:lineRule="exact"/>
        <w:ind w:firstLine="567"/>
        <w:rPr>
          <w:rFonts w:ascii="Arial" w:eastAsia="標楷體" w:hAnsi="Arial" w:cs="Arial" w:hint="eastAsia"/>
        </w:rPr>
      </w:pPr>
      <w:r w:rsidRPr="00D3492D">
        <w:rPr>
          <w:rFonts w:ascii="Arial" w:eastAsia="標楷體" w:hAnsi="Arial" w:cs="Arial"/>
        </w:rPr>
        <w:t>(A)</w:t>
      </w:r>
      <w:r w:rsidRPr="00D3492D">
        <w:rPr>
          <w:rFonts w:ascii="Arial" w:eastAsia="標楷體" w:hAnsi="Arial" w:cs="Arial"/>
        </w:rPr>
        <w:t>二家</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三家</w:t>
      </w:r>
      <w:r w:rsidRPr="00D3492D">
        <w:rPr>
          <w:rFonts w:ascii="Arial" w:eastAsia="標楷體" w:hAnsi="Arial" w:cs="Arial" w:hint="eastAsia"/>
        </w:rPr>
        <w:tab/>
      </w:r>
      <w:r w:rsidRPr="00D3492D">
        <w:rPr>
          <w:rFonts w:ascii="Arial" w:eastAsia="標楷體" w:hAnsi="Arial" w:cs="Arial"/>
        </w:rPr>
        <w:t>(C)</w:t>
      </w:r>
      <w:r w:rsidRPr="00D3492D">
        <w:rPr>
          <w:rFonts w:ascii="Arial" w:eastAsia="標楷體" w:hAnsi="Arial" w:cs="Arial"/>
        </w:rPr>
        <w:t>四家</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五家</w:t>
      </w:r>
    </w:p>
    <w:p w:rsidR="002248CB" w:rsidRPr="00D3492D" w:rsidRDefault="002248CB" w:rsidP="00D7662C">
      <w:pPr>
        <w:tabs>
          <w:tab w:val="left" w:pos="2977"/>
          <w:tab w:val="left" w:pos="5387"/>
          <w:tab w:val="left" w:pos="7797"/>
        </w:tabs>
        <w:snapToGrid w:val="0"/>
        <w:spacing w:before="20" w:after="20" w:line="300" w:lineRule="exact"/>
        <w:ind w:firstLine="567"/>
        <w:rPr>
          <w:rFonts w:ascii="Arial" w:eastAsia="標楷體" w:hAnsi="Arial" w:cs="Arial"/>
        </w:rPr>
      </w:pP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櫃買中心繼續提列特別給付結算基金之上限為多少？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新臺幣一億元</w:t>
      </w:r>
      <w:r w:rsidR="00EC007B">
        <w:rPr>
          <w:rFonts w:ascii="Arial" w:eastAsia="標楷體" w:hAnsi="Arial" w:cs="Arial" w:hint="eastAsia"/>
        </w:rPr>
        <w:tab/>
      </w:r>
      <w:r w:rsidR="00EC007B">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新臺幣三億元</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新臺幣六億元</w:t>
      </w:r>
      <w:r w:rsidRPr="00D3492D">
        <w:rPr>
          <w:rFonts w:ascii="Arial" w:eastAsia="標楷體" w:hAnsi="Arial" w:cs="Arial" w:hint="eastAsia"/>
        </w:rPr>
        <w:tab/>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新臺幣十億元</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櫃檯買賣證券經紀商因執行受託買賣發生錯誤，須為買回、轉賣者，應如何處理？</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於發生錯誤</w:t>
      </w:r>
      <w:r w:rsidRPr="00D3492D">
        <w:rPr>
          <w:rFonts w:ascii="Arial" w:eastAsia="標楷體" w:hAnsi="Arial" w:cs="Arial" w:hint="eastAsia"/>
        </w:rPr>
        <w:t>兩</w:t>
      </w:r>
      <w:r w:rsidRPr="00D3492D">
        <w:rPr>
          <w:rFonts w:ascii="Arial" w:eastAsia="標楷體" w:hAnsi="Arial" w:cs="Arial"/>
        </w:rPr>
        <w:t>日</w:t>
      </w:r>
      <w:r w:rsidRPr="00D3492D">
        <w:rPr>
          <w:rFonts w:ascii="Arial" w:eastAsia="標楷體" w:hAnsi="Arial" w:cs="Arial" w:hint="eastAsia"/>
        </w:rPr>
        <w:t>內</w:t>
      </w:r>
      <w:r w:rsidRPr="00D3492D">
        <w:rPr>
          <w:rFonts w:ascii="Arial" w:eastAsia="標楷體" w:hAnsi="Arial" w:cs="Arial"/>
        </w:rPr>
        <w:t>以錯帳處理專戶為之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於發生錯誤次一營業日以違約處理專戶為之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於發生錯誤當日或次一營業日以任一客戶之買賣帳戶為之</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於發生錯誤當日或次一營業日以錯帳處理專戶為之</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目前證券金融事業得經營下列哪些業務？</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對證券商辦理承銷之融資</w:t>
      </w:r>
      <w:r w:rsidRPr="00D3492D">
        <w:rPr>
          <w:rFonts w:ascii="Arial" w:eastAsia="標楷體" w:hAnsi="Arial" w:cs="Arial" w:hint="eastAsia"/>
        </w:rPr>
        <w:tab/>
      </w:r>
      <w:r w:rsidRPr="00D3492D">
        <w:rPr>
          <w:rFonts w:ascii="Arial" w:eastAsia="標楷體" w:hAnsi="Arial" w:cs="Arial"/>
        </w:rPr>
        <w:t>(B)</w:t>
      </w:r>
      <w:r w:rsidRPr="00D3492D">
        <w:rPr>
          <w:rFonts w:ascii="Arial" w:eastAsia="標楷體" w:hAnsi="Arial" w:cs="Arial"/>
        </w:rPr>
        <w:t>承銷認股之融資</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有價證券買賣之融資融券</w:t>
      </w:r>
      <w:r w:rsidRPr="00D3492D">
        <w:rPr>
          <w:rFonts w:ascii="Arial" w:eastAsia="標楷體" w:hAnsi="Arial" w:cs="Arial" w:hint="eastAsia"/>
        </w:rPr>
        <w:tab/>
      </w:r>
      <w:r w:rsidRPr="00D3492D">
        <w:rPr>
          <w:rFonts w:ascii="Arial" w:eastAsia="標楷體" w:hAnsi="Arial" w:cs="Arial"/>
        </w:rPr>
        <w:t>(D)</w:t>
      </w:r>
      <w:r w:rsidRPr="00D3492D">
        <w:rPr>
          <w:rFonts w:ascii="Arial" w:eastAsia="標楷體" w:hAnsi="Arial" w:cs="Arial"/>
        </w:rPr>
        <w:t>選項</w:t>
      </w:r>
      <w:r w:rsidRPr="00D3492D">
        <w:rPr>
          <w:rFonts w:ascii="Arial" w:eastAsia="標楷體" w:hAnsi="Arial" w:cs="Arial"/>
        </w:rPr>
        <w:t>(A)(B)(C)</w:t>
      </w:r>
      <w:r w:rsidRPr="00D3492D">
        <w:rPr>
          <w:rFonts w:ascii="Arial" w:eastAsia="標楷體" w:hAnsi="Arial" w:cs="Arial"/>
        </w:rPr>
        <w:t>皆是</w:t>
      </w:r>
    </w:p>
    <w:p w:rsidR="004C0A42" w:rsidRPr="004C0A42" w:rsidRDefault="004C0A42" w:rsidP="00D7662C">
      <w:pPr>
        <w:numPr>
          <w:ilvl w:val="0"/>
          <w:numId w:val="5"/>
        </w:numPr>
        <w:snapToGrid w:val="0"/>
        <w:spacing w:before="60" w:after="60" w:line="300" w:lineRule="exact"/>
        <w:rPr>
          <w:rFonts w:ascii="Arial" w:eastAsia="標楷體" w:hAnsi="Arial" w:cs="Arial"/>
        </w:rPr>
      </w:pPr>
      <w:r w:rsidRPr="004C0A42">
        <w:rPr>
          <w:rFonts w:ascii="Arial" w:eastAsia="標楷體" w:hAnsi="Arial" w:cs="Arial"/>
        </w:rPr>
        <w:t>目前證券商營業處所受託買賣有價證券的交易手續費上限為多少？</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(A)</w:t>
      </w:r>
      <w:r w:rsidRPr="00D3492D">
        <w:rPr>
          <w:rFonts w:ascii="Arial" w:eastAsia="標楷體" w:hAnsi="Arial" w:cs="Arial"/>
        </w:rPr>
        <w:t>千分之零點二八</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(B)</w:t>
      </w:r>
      <w:r w:rsidRPr="00D3492D">
        <w:rPr>
          <w:rFonts w:ascii="Arial" w:eastAsia="標楷體" w:hAnsi="Arial" w:cs="Arial"/>
        </w:rPr>
        <w:t xml:space="preserve">千分之一點四二五　</w:t>
      </w:r>
    </w:p>
    <w:p w:rsidR="004C0A42" w:rsidRPr="00D3492D"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(C)</w:t>
      </w:r>
      <w:r w:rsidRPr="00D3492D">
        <w:rPr>
          <w:rFonts w:ascii="Arial" w:eastAsia="標楷體" w:hAnsi="Arial" w:cs="Arial"/>
        </w:rPr>
        <w:t xml:space="preserve">千分之一　</w:t>
      </w:r>
    </w:p>
    <w:p w:rsidR="00C31787" w:rsidRDefault="004C0A42" w:rsidP="00D7662C">
      <w:pPr>
        <w:tabs>
          <w:tab w:val="left" w:pos="2977"/>
          <w:tab w:val="left" w:pos="5387"/>
          <w:tab w:val="left" w:pos="7797"/>
        </w:tabs>
        <w:snapToGrid w:val="0"/>
        <w:spacing w:before="20" w:after="20" w:line="300" w:lineRule="exact"/>
        <w:ind w:firstLine="567"/>
        <w:rPr>
          <w:rFonts w:ascii="Arial" w:eastAsia="標楷體" w:hAnsi="Arial" w:cs="Arial"/>
        </w:rPr>
      </w:pPr>
      <w:r w:rsidRPr="00D3492D">
        <w:rPr>
          <w:rFonts w:ascii="Arial" w:eastAsia="標楷體" w:hAnsi="Arial" w:cs="Arial"/>
        </w:rPr>
        <w:t>(D)</w:t>
      </w:r>
      <w:r w:rsidRPr="00D3492D">
        <w:rPr>
          <w:rFonts w:ascii="Arial" w:eastAsia="標楷體" w:hAnsi="Arial" w:cs="Arial"/>
        </w:rPr>
        <w:t>千分之三</w:t>
      </w:r>
    </w:p>
    <w:p w:rsidR="00C31787" w:rsidRPr="00B42E3E" w:rsidRDefault="00C31787" w:rsidP="00C31787">
      <w:pPr>
        <w:snapToGrid w:val="0"/>
        <w:spacing w:after="24" w:line="360" w:lineRule="atLeast"/>
        <w:rPr>
          <w:rFonts w:ascii="Arial" w:eastAsia="標楷體" w:hAnsi="Arial" w:cs="Arial"/>
          <w:b/>
          <w:sz w:val="32"/>
          <w:szCs w:val="32"/>
        </w:rPr>
      </w:pPr>
      <w:r>
        <w:rPr>
          <w:rFonts w:ascii="Arial" w:eastAsia="標楷體" w:hAnsi="Arial" w:cs="Arial"/>
        </w:rPr>
        <w:br w:type="page"/>
      </w:r>
      <w:r>
        <w:rPr>
          <w:rFonts w:ascii="Arial" w:eastAsia="標楷體" w:hAnsi="Arial" w:cs="Arial" w:hint="eastAsia"/>
          <w:b/>
          <w:sz w:val="32"/>
          <w:szCs w:val="32"/>
        </w:rPr>
        <w:lastRenderedPageBreak/>
        <w:t>109</w:t>
      </w:r>
      <w:r w:rsidRPr="00B42E3E">
        <w:rPr>
          <w:rFonts w:ascii="Arial" w:eastAsia="標楷體" w:hAnsi="Arial" w:cs="Arial" w:hint="eastAsia"/>
          <w:b/>
          <w:sz w:val="32"/>
          <w:szCs w:val="32"/>
        </w:rPr>
        <w:t>年</w:t>
      </w:r>
      <w:r w:rsidRPr="00B42E3E">
        <w:rPr>
          <w:rFonts w:ascii="Arial" w:eastAsia="標楷體" w:hAnsi="Arial" w:cs="Arial"/>
          <w:b/>
          <w:sz w:val="32"/>
          <w:szCs w:val="32"/>
        </w:rPr>
        <w:t>第</w:t>
      </w:r>
      <w:r>
        <w:rPr>
          <w:rFonts w:ascii="Arial" w:eastAsia="標楷體" w:hAnsi="Arial" w:cs="Arial" w:hint="eastAsia"/>
          <w:b/>
          <w:sz w:val="32"/>
          <w:szCs w:val="32"/>
        </w:rPr>
        <w:t>4</w:t>
      </w:r>
      <w:r w:rsidRPr="00B42E3E">
        <w:rPr>
          <w:rFonts w:ascii="Arial" w:eastAsia="標楷體" w:hAnsi="Arial" w:cs="Arial"/>
          <w:b/>
          <w:sz w:val="32"/>
          <w:szCs w:val="32"/>
        </w:rPr>
        <w:t>次證券商業務員資格測驗試題</w:t>
      </w:r>
    </w:p>
    <w:p w:rsidR="00C31787" w:rsidRPr="00FD6421" w:rsidRDefault="00C31787" w:rsidP="00C31787">
      <w:pPr>
        <w:tabs>
          <w:tab w:val="left" w:pos="5640"/>
        </w:tabs>
        <w:snapToGrid w:val="0"/>
        <w:spacing w:after="24"/>
        <w:rPr>
          <w:rFonts w:ascii="Arial" w:eastAsia="標楷體" w:hAnsi="Arial" w:cs="Arial"/>
          <w:b/>
          <w:sz w:val="28"/>
        </w:rPr>
      </w:pPr>
      <w:r w:rsidRPr="00FD6421">
        <w:rPr>
          <w:rFonts w:ascii="Arial" w:eastAsia="標楷體" w:hAnsi="Arial" w:cs="Arial"/>
          <w:b/>
          <w:sz w:val="28"/>
        </w:rPr>
        <w:t>專業科目：證券投資與財務分析</w:t>
      </w:r>
      <w:r w:rsidRPr="00FD6421">
        <w:rPr>
          <w:rFonts w:ascii="Arial" w:eastAsia="標楷體" w:hAnsi="Arial" w:cs="Arial"/>
          <w:b/>
          <w:sz w:val="28"/>
        </w:rPr>
        <w:tab/>
      </w:r>
      <w:r w:rsidRPr="00FD6421">
        <w:rPr>
          <w:rFonts w:ascii="Arial" w:eastAsia="標楷體" w:hAnsi="Arial" w:cs="Arial"/>
          <w:b/>
          <w:sz w:val="28"/>
        </w:rPr>
        <w:tab/>
      </w:r>
      <w:r>
        <w:rPr>
          <w:rFonts w:ascii="Arial" w:eastAsia="標楷體" w:hAnsi="Arial" w:cs="Arial" w:hint="eastAsia"/>
          <w:b/>
          <w:sz w:val="28"/>
        </w:rPr>
        <w:tab/>
      </w:r>
      <w:r w:rsidRPr="00FD6421">
        <w:rPr>
          <w:rFonts w:ascii="Arial" w:eastAsia="標楷體" w:hAnsi="Arial" w:cs="Arial"/>
          <w:b/>
          <w:sz w:val="28"/>
        </w:rPr>
        <w:t>請填</w:t>
      </w:r>
      <w:r>
        <w:rPr>
          <w:rFonts w:ascii="Arial" w:eastAsia="標楷體" w:hAnsi="Arial" w:cs="Arial" w:hint="eastAsia"/>
          <w:b/>
          <w:sz w:val="28"/>
        </w:rPr>
        <w:t>應試號碼</w:t>
      </w:r>
      <w:r w:rsidRPr="00FD6421">
        <w:rPr>
          <w:rFonts w:ascii="Arial" w:eastAsia="標楷體" w:hAnsi="Arial" w:cs="Arial"/>
          <w:b/>
          <w:sz w:val="28"/>
        </w:rPr>
        <w:t>：</w:t>
      </w:r>
      <w:r w:rsidRPr="00FD6421">
        <w:rPr>
          <w:rFonts w:ascii="Arial" w:eastAsia="標楷體" w:hAnsi="Arial" w:cs="Arial"/>
          <w:b/>
          <w:sz w:val="28"/>
          <w:u w:val="single"/>
        </w:rPr>
        <w:t xml:space="preserve">         </w:t>
      </w:r>
      <w:r>
        <w:rPr>
          <w:rFonts w:ascii="Arial" w:eastAsia="標楷體" w:hAnsi="Arial" w:cs="Arial" w:hint="eastAsia"/>
          <w:b/>
          <w:sz w:val="28"/>
          <w:u w:val="single"/>
        </w:rPr>
        <w:t xml:space="preserve">    </w:t>
      </w:r>
      <w:r w:rsidRPr="00FD6421">
        <w:rPr>
          <w:rFonts w:ascii="Arial" w:eastAsia="標楷體" w:hAnsi="Arial" w:cs="Arial"/>
          <w:b/>
          <w:sz w:val="28"/>
          <w:u w:val="single"/>
        </w:rPr>
        <w:t xml:space="preserve">  </w:t>
      </w:r>
    </w:p>
    <w:p w:rsidR="00C31787" w:rsidRPr="00075903" w:rsidRDefault="00C31787" w:rsidP="00C31787">
      <w:pPr>
        <w:ind w:left="966" w:hangingChars="409" w:hanging="966"/>
        <w:rPr>
          <w:rFonts w:ascii="Arial" w:eastAsia="標楷體" w:hAnsi="Arial" w:cs="Arial"/>
          <w:b/>
          <w:spacing w:val="-2"/>
        </w:rPr>
      </w:pPr>
      <w:r w:rsidRPr="00FD6421">
        <w:rPr>
          <w:rFonts w:ascii="細明體" w:eastAsia="細明體" w:hAnsi="細明體" w:cs="細明體" w:hint="eastAsia"/>
          <w:b/>
          <w:spacing w:val="-2"/>
        </w:rPr>
        <w:t>※</w:t>
      </w:r>
      <w:r w:rsidRPr="00FD6421">
        <w:rPr>
          <w:rFonts w:ascii="Arial" w:eastAsia="標楷體" w:hAnsi="Arial" w:cs="Arial"/>
          <w:b/>
          <w:spacing w:val="-2"/>
        </w:rPr>
        <w:t>注意：考生請在「答案卡」上作答，共</w:t>
      </w:r>
      <w:r w:rsidRPr="00FD6421">
        <w:rPr>
          <w:rFonts w:ascii="Arial" w:eastAsia="標楷體" w:hAnsi="Arial" w:cs="Arial"/>
          <w:b/>
          <w:spacing w:val="-2"/>
        </w:rPr>
        <w:t>50</w:t>
      </w:r>
      <w:r w:rsidRPr="00FD6421">
        <w:rPr>
          <w:rFonts w:ascii="Arial" w:eastAsia="標楷體" w:hAnsi="Arial" w:cs="Arial"/>
          <w:b/>
          <w:spacing w:val="-2"/>
        </w:rPr>
        <w:t>題，每題</w:t>
      </w:r>
      <w:r w:rsidRPr="00FD6421">
        <w:rPr>
          <w:rFonts w:ascii="Arial" w:eastAsia="標楷體" w:hAnsi="Arial" w:cs="Arial"/>
          <w:b/>
          <w:spacing w:val="-2"/>
        </w:rPr>
        <w:t>2</w:t>
      </w:r>
      <w:r w:rsidRPr="00FD6421">
        <w:rPr>
          <w:rFonts w:ascii="Arial" w:eastAsia="標楷體" w:hAnsi="Arial" w:cs="Arial"/>
          <w:b/>
          <w:spacing w:val="-2"/>
        </w:rPr>
        <w:t>分，每一試題有</w:t>
      </w:r>
      <w:r w:rsidRPr="00FD6421">
        <w:rPr>
          <w:rFonts w:ascii="Arial" w:eastAsia="標楷體" w:hAnsi="Arial" w:cs="Arial"/>
          <w:b/>
          <w:spacing w:val="-2"/>
        </w:rPr>
        <w:t>(A)(B)(C)(D)</w:t>
      </w:r>
      <w:r w:rsidRPr="00FD6421">
        <w:rPr>
          <w:rFonts w:ascii="Arial" w:eastAsia="標楷體" w:hAnsi="Arial" w:cs="Arial"/>
          <w:b/>
          <w:spacing w:val="-2"/>
        </w:rPr>
        <w:t>選項，本測驗為單一選擇題，請依題意選出一個正確或最適當的答案</w:t>
      </w:r>
    </w:p>
    <w:p w:rsidR="00C31787" w:rsidRPr="00C32EEE" w:rsidRDefault="00C31787" w:rsidP="00C31787">
      <w:pPr>
        <w:snapToGrid w:val="0"/>
        <w:spacing w:before="60" w:after="60" w:line="300" w:lineRule="atLeast"/>
        <w:ind w:left="284" w:hanging="284"/>
        <w:rPr>
          <w:rFonts w:ascii="標楷體" w:eastAsia="標楷體" w:hAnsi="標楷體"/>
        </w:rPr>
      </w:pPr>
      <w:r>
        <w:rPr>
          <w:rFonts w:ascii="標楷體" w:eastAsia="標楷體" w:hAnsi="標楷體" w:hint="eastAsia"/>
        </w:rPr>
        <w:t>1.</w:t>
      </w:r>
      <w:r w:rsidRPr="00C32EEE">
        <w:rPr>
          <w:rFonts w:ascii="標楷體" w:eastAsia="標楷體" w:hAnsi="標楷體" w:hint="eastAsia"/>
        </w:rPr>
        <w:t>影響金融市場中所有資產報酬的事件，其衝擊屬於全面性的風險有那些？甲.利率風險；乙.購買力風險；丙.政治風險</w:t>
      </w:r>
    </w:p>
    <w:p w:rsidR="00C31787" w:rsidRDefault="00C31787" w:rsidP="00C31787">
      <w:pPr>
        <w:tabs>
          <w:tab w:val="left" w:pos="3261"/>
          <w:tab w:val="left" w:pos="6084"/>
          <w:tab w:val="left" w:pos="8592"/>
        </w:tabs>
        <w:ind w:firstLine="284"/>
      </w:pPr>
      <w:r w:rsidRPr="008B4802">
        <w:rPr>
          <w:rFonts w:ascii="標楷體" w:eastAsia="標楷體" w:hAnsi="標楷體" w:hint="eastAsia"/>
        </w:rPr>
        <w:t>(A)</w:t>
      </w:r>
      <w:proofErr w:type="gramStart"/>
      <w:r w:rsidRPr="008B4802">
        <w:rPr>
          <w:rFonts w:ascii="標楷體" w:eastAsia="標楷體" w:hAnsi="標楷體" w:hint="eastAsia"/>
        </w:rPr>
        <w:t>僅甲</w:t>
      </w:r>
      <w:proofErr w:type="gramEnd"/>
      <w:r w:rsidRPr="008B4802">
        <w:rPr>
          <w:rFonts w:ascii="標楷體" w:eastAsia="標楷體" w:hAnsi="標楷體" w:hint="eastAsia"/>
        </w:rPr>
        <w:t>、乙</w:t>
      </w:r>
      <w:r>
        <w:rPr>
          <w:rFonts w:hint="eastAsia"/>
        </w:rPr>
        <w:tab/>
      </w:r>
      <w:r w:rsidRPr="008B4802">
        <w:rPr>
          <w:rFonts w:ascii="標楷體" w:eastAsia="標楷體" w:hAnsi="標楷體" w:hint="eastAsia"/>
        </w:rPr>
        <w:t>(B)</w:t>
      </w:r>
      <w:proofErr w:type="gramStart"/>
      <w:r w:rsidRPr="008B4802">
        <w:rPr>
          <w:rFonts w:ascii="標楷體" w:eastAsia="標楷體" w:hAnsi="標楷體" w:hint="eastAsia"/>
        </w:rPr>
        <w:t>僅乙</w:t>
      </w:r>
      <w:proofErr w:type="gramEnd"/>
      <w:r w:rsidRPr="008B4802">
        <w:rPr>
          <w:rFonts w:ascii="標楷體" w:eastAsia="標楷體" w:hAnsi="標楷體" w:hint="eastAsia"/>
        </w:rPr>
        <w:t>、丙</w:t>
      </w:r>
      <w:r>
        <w:rPr>
          <w:rFonts w:hint="eastAsia"/>
        </w:rPr>
        <w:tab/>
      </w:r>
      <w:r w:rsidRPr="008B4802">
        <w:rPr>
          <w:rFonts w:ascii="標楷體" w:eastAsia="標楷體" w:hAnsi="標楷體" w:hint="eastAsia"/>
        </w:rPr>
        <w:t>(C)</w:t>
      </w:r>
      <w:proofErr w:type="gramStart"/>
      <w:r w:rsidRPr="008B4802">
        <w:rPr>
          <w:rFonts w:ascii="標楷體" w:eastAsia="標楷體" w:hAnsi="標楷體" w:hint="eastAsia"/>
        </w:rPr>
        <w:t>僅甲</w:t>
      </w:r>
      <w:proofErr w:type="gramEnd"/>
      <w:r w:rsidRPr="008B4802">
        <w:rPr>
          <w:rFonts w:ascii="標楷體" w:eastAsia="標楷體" w:hAnsi="標楷體" w:hint="eastAsia"/>
        </w:rPr>
        <w:t>、丙</w:t>
      </w:r>
      <w:r>
        <w:rPr>
          <w:rFonts w:hint="eastAsia"/>
        </w:rPr>
        <w:tab/>
      </w:r>
      <w:r w:rsidRPr="008B4802">
        <w:rPr>
          <w:rFonts w:ascii="標楷體" w:eastAsia="標楷體" w:hAnsi="標楷體" w:hint="eastAsia"/>
        </w:rPr>
        <w:t>(D)甲、乙、丙</w:t>
      </w:r>
    </w:p>
    <w:p w:rsidR="00C31787" w:rsidRPr="00C32EEE" w:rsidRDefault="00C31787" w:rsidP="00C31787">
      <w:pPr>
        <w:snapToGrid w:val="0"/>
        <w:spacing w:before="60" w:after="60" w:line="300" w:lineRule="atLeast"/>
        <w:ind w:left="252" w:hanging="252"/>
        <w:rPr>
          <w:rFonts w:ascii="標楷體" w:eastAsia="標楷體" w:hAnsi="標楷體"/>
        </w:rPr>
      </w:pPr>
      <w:r>
        <w:rPr>
          <w:rFonts w:ascii="標楷體" w:eastAsia="標楷體" w:hAnsi="標楷體" w:hint="eastAsia"/>
        </w:rPr>
        <w:t>2.</w:t>
      </w:r>
      <w:r w:rsidRPr="00C32EEE">
        <w:rPr>
          <w:rFonts w:ascii="標楷體" w:eastAsia="標楷體" w:hAnsi="標楷體" w:hint="eastAsia"/>
        </w:rPr>
        <w:t>附認股權公司債之認股權被執行時，則：甲.公司債繼續存在；乙.投資人不須支付任何金額即可取得普通股；丙.發行公司即償還公司債之本金</w:t>
      </w:r>
    </w:p>
    <w:p w:rsidR="00C31787" w:rsidRDefault="00C31787" w:rsidP="00C31787">
      <w:r>
        <w:rPr>
          <w:rFonts w:ascii="標楷體" w:eastAsia="標楷體" w:hAnsi="標楷體" w:hint="eastAsia"/>
        </w:rPr>
        <w:t xml:space="preserve">  </w:t>
      </w:r>
      <w:r w:rsidRPr="008B4802">
        <w:rPr>
          <w:rFonts w:ascii="標楷體" w:eastAsia="標楷體" w:hAnsi="標楷體" w:hint="eastAsia"/>
        </w:rPr>
        <w:t>(A)</w:t>
      </w:r>
      <w:proofErr w:type="gramStart"/>
      <w:r w:rsidRPr="008B4802">
        <w:rPr>
          <w:rFonts w:ascii="標楷體" w:eastAsia="標楷體" w:hAnsi="標楷體" w:hint="eastAsia"/>
        </w:rPr>
        <w:t>僅甲</w:t>
      </w:r>
      <w:proofErr w:type="gramEnd"/>
      <w:r w:rsidRPr="002C7163">
        <w:rPr>
          <w:rFonts w:ascii="標楷體" w:eastAsia="標楷體" w:hAnsi="標楷體" w:hint="eastAsia"/>
        </w:rPr>
        <w:tab/>
      </w:r>
      <w:r>
        <w:rPr>
          <w:rFonts w:hint="eastAsia"/>
        </w:rPr>
        <w:tab/>
      </w:r>
      <w:r>
        <w:rPr>
          <w:rFonts w:hint="eastAsia"/>
        </w:rPr>
        <w:tab/>
      </w:r>
      <w:r>
        <w:rPr>
          <w:rFonts w:hint="eastAsia"/>
        </w:rPr>
        <w:tab/>
        <w:t xml:space="preserve">   </w:t>
      </w:r>
      <w:r w:rsidRPr="008B4802">
        <w:rPr>
          <w:rFonts w:ascii="標楷體" w:eastAsia="標楷體" w:hAnsi="標楷體" w:hint="eastAsia"/>
        </w:rPr>
        <w:t>(B)</w:t>
      </w:r>
      <w:proofErr w:type="gramStart"/>
      <w:r w:rsidRPr="008B4802">
        <w:rPr>
          <w:rFonts w:ascii="標楷體" w:eastAsia="標楷體" w:hAnsi="標楷體" w:hint="eastAsia"/>
        </w:rPr>
        <w:t>僅甲</w:t>
      </w:r>
      <w:proofErr w:type="gramEnd"/>
      <w:r w:rsidRPr="008B4802">
        <w:rPr>
          <w:rFonts w:ascii="標楷體" w:eastAsia="標楷體" w:hAnsi="標楷體" w:hint="eastAsia"/>
        </w:rPr>
        <w:t>、乙</w:t>
      </w:r>
      <w:r>
        <w:rPr>
          <w:rFonts w:hint="eastAsia"/>
        </w:rPr>
        <w:tab/>
      </w:r>
      <w:r>
        <w:rPr>
          <w:rFonts w:hint="eastAsia"/>
        </w:rPr>
        <w:tab/>
      </w:r>
      <w:r>
        <w:rPr>
          <w:rFonts w:hint="eastAsia"/>
        </w:rPr>
        <w:tab/>
        <w:t xml:space="preserve">   </w:t>
      </w:r>
      <w:r w:rsidRPr="008B4802">
        <w:rPr>
          <w:rFonts w:ascii="標楷體" w:eastAsia="標楷體" w:hAnsi="標楷體" w:hint="eastAsia"/>
        </w:rPr>
        <w:t>(C)</w:t>
      </w:r>
      <w:proofErr w:type="gramStart"/>
      <w:r w:rsidRPr="008B4802">
        <w:rPr>
          <w:rFonts w:ascii="標楷體" w:eastAsia="標楷體" w:hAnsi="標楷體" w:hint="eastAsia"/>
        </w:rPr>
        <w:t>僅乙</w:t>
      </w:r>
      <w:proofErr w:type="gramEnd"/>
      <w:r w:rsidRPr="008B4802">
        <w:rPr>
          <w:rFonts w:ascii="標楷體" w:eastAsia="標楷體" w:hAnsi="標楷體" w:hint="eastAsia"/>
        </w:rPr>
        <w:t>、丙</w:t>
      </w:r>
      <w:r>
        <w:rPr>
          <w:rFonts w:hint="eastAsia"/>
        </w:rPr>
        <w:tab/>
      </w:r>
      <w:r>
        <w:rPr>
          <w:rFonts w:hint="eastAsia"/>
        </w:rPr>
        <w:tab/>
      </w:r>
      <w:r>
        <w:rPr>
          <w:rFonts w:hint="eastAsia"/>
        </w:rPr>
        <w:tab/>
      </w:r>
      <w:r w:rsidRPr="008B4802">
        <w:rPr>
          <w:rFonts w:ascii="標楷體" w:eastAsia="標楷體" w:hAnsi="標楷體" w:hint="eastAsia"/>
        </w:rPr>
        <w:t>(D)甲、乙、丙</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w:t>
      </w:r>
      <w:r>
        <w:rPr>
          <w:rFonts w:ascii="標楷體" w:eastAsia="標楷體" w:hAnsi="標楷體"/>
        </w:rPr>
        <w:t>.</w:t>
      </w:r>
      <w:r w:rsidRPr="00C32EEE">
        <w:rPr>
          <w:rFonts w:ascii="標楷體" w:eastAsia="標楷體" w:hAnsi="標楷體"/>
        </w:rPr>
        <w:t>一般發行擔保公司債，擔保機構主要為：</w:t>
      </w:r>
    </w:p>
    <w:p w:rsidR="00C31787" w:rsidRPr="008B4802" w:rsidRDefault="00C31787" w:rsidP="00C31787">
      <w:pPr>
        <w:snapToGrid w:val="0"/>
        <w:spacing w:before="20" w:after="20" w:line="280" w:lineRule="exact"/>
        <w:ind w:firstLine="280"/>
        <w:rPr>
          <w:rFonts w:ascii="標楷體" w:eastAsia="標楷體" w:hAnsi="標楷體"/>
        </w:rPr>
      </w:pPr>
      <w:r w:rsidRPr="008B4802">
        <w:rPr>
          <w:rFonts w:ascii="標楷體" w:eastAsia="標楷體" w:hAnsi="標楷體"/>
        </w:rPr>
        <w:t>(A)銀行</w:t>
      </w:r>
      <w:r w:rsidRPr="008B4802">
        <w:rPr>
          <w:rFonts w:ascii="標楷體" w:eastAsia="標楷體" w:hAnsi="標楷體" w:hint="eastAsia"/>
        </w:rPr>
        <w:tab/>
      </w:r>
      <w:r w:rsidRPr="008B4802">
        <w:rPr>
          <w:rFonts w:ascii="標楷體" w:eastAsia="標楷體" w:hAnsi="標楷體" w:hint="eastAsia"/>
        </w:rPr>
        <w:tab/>
      </w:r>
      <w:r w:rsidRPr="008B4802">
        <w:rPr>
          <w:rFonts w:ascii="標楷體" w:eastAsia="標楷體" w:hAnsi="標楷體" w:hint="eastAsia"/>
        </w:rPr>
        <w:tab/>
      </w:r>
      <w:r w:rsidRPr="008B4802">
        <w:rPr>
          <w:rFonts w:ascii="標楷體" w:eastAsia="標楷體" w:hAnsi="標楷體" w:hint="eastAsia"/>
        </w:rPr>
        <w:tab/>
        <w:t xml:space="preserve">   </w:t>
      </w:r>
      <w:r w:rsidRPr="008B4802">
        <w:rPr>
          <w:rFonts w:ascii="標楷體" w:eastAsia="標楷體" w:hAnsi="標楷體"/>
        </w:rPr>
        <w:t>(B)承銷商</w:t>
      </w:r>
      <w:r w:rsidRPr="008B4802">
        <w:rPr>
          <w:rFonts w:ascii="標楷體" w:eastAsia="標楷體" w:hAnsi="標楷體" w:hint="eastAsia"/>
        </w:rPr>
        <w:t xml:space="preserve"> </w:t>
      </w:r>
      <w:r w:rsidRPr="008B4802">
        <w:rPr>
          <w:rFonts w:ascii="標楷體" w:eastAsia="標楷體" w:hAnsi="標楷體" w:hint="eastAsia"/>
        </w:rPr>
        <w:tab/>
      </w:r>
      <w:r w:rsidRPr="008B4802">
        <w:rPr>
          <w:rFonts w:ascii="標楷體" w:eastAsia="標楷體" w:hAnsi="標楷體" w:hint="eastAsia"/>
        </w:rPr>
        <w:tab/>
      </w:r>
      <w:r w:rsidRPr="008B4802">
        <w:rPr>
          <w:rFonts w:ascii="標楷體" w:eastAsia="標楷體" w:hAnsi="標楷體" w:hint="eastAsia"/>
        </w:rPr>
        <w:tab/>
        <w:t xml:space="preserve">   </w:t>
      </w:r>
      <w:r w:rsidRPr="008B4802">
        <w:rPr>
          <w:rFonts w:ascii="標楷體" w:eastAsia="標楷體" w:hAnsi="標楷體"/>
        </w:rPr>
        <w:t>(C)投資信託公司</w:t>
      </w:r>
      <w:r w:rsidRPr="008B4802">
        <w:rPr>
          <w:rFonts w:ascii="標楷體" w:eastAsia="標楷體" w:hAnsi="標楷體" w:hint="eastAsia"/>
        </w:rPr>
        <w:tab/>
      </w:r>
      <w:r w:rsidRPr="008B4802">
        <w:rPr>
          <w:rFonts w:ascii="標楷體" w:eastAsia="標楷體" w:hAnsi="標楷體" w:hint="eastAsia"/>
        </w:rPr>
        <w:tab/>
      </w:r>
      <w:r w:rsidRPr="008B4802">
        <w:rPr>
          <w:rFonts w:ascii="標楷體" w:eastAsia="標楷體" w:hAnsi="標楷體"/>
        </w:rPr>
        <w:t>(D)票</w:t>
      </w:r>
      <w:proofErr w:type="gramStart"/>
      <w:r w:rsidRPr="008B4802">
        <w:rPr>
          <w:rFonts w:ascii="標楷體" w:eastAsia="標楷體" w:hAnsi="標楷體"/>
        </w:rPr>
        <w:t>券</w:t>
      </w:r>
      <w:proofErr w:type="gramEnd"/>
      <w:r w:rsidRPr="008B4802">
        <w:rPr>
          <w:rFonts w:ascii="標楷體" w:eastAsia="標楷體" w:hAnsi="標楷體"/>
        </w:rPr>
        <w:t>公司</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w:t>
      </w:r>
      <w:r w:rsidRPr="00C32EEE">
        <w:rPr>
          <w:rFonts w:ascii="標楷體" w:eastAsia="標楷體" w:hAnsi="標楷體" w:hint="eastAsia"/>
        </w:rPr>
        <w:t>何者不是公司發行債券之適當時機?</w:t>
      </w:r>
    </w:p>
    <w:p w:rsidR="00C31787" w:rsidRDefault="00C31787" w:rsidP="00C31787">
      <w:pPr>
        <w:ind w:firstLine="284"/>
      </w:pPr>
      <w:r w:rsidRPr="008B4802">
        <w:rPr>
          <w:rFonts w:ascii="標楷體" w:eastAsia="標楷體" w:hAnsi="標楷體" w:hint="eastAsia"/>
        </w:rPr>
        <w:t>(A)預期物價水準將大幅上升</w:t>
      </w:r>
      <w:r>
        <w:rPr>
          <w:rFonts w:hint="eastAsia"/>
        </w:rPr>
        <w:tab/>
      </w:r>
      <w:r>
        <w:rPr>
          <w:rFonts w:hint="eastAsia"/>
        </w:rPr>
        <w:tab/>
      </w:r>
      <w:r>
        <w:rPr>
          <w:rFonts w:hint="eastAsia"/>
        </w:rPr>
        <w:tab/>
      </w:r>
      <w:r>
        <w:rPr>
          <w:rFonts w:hint="eastAsia"/>
        </w:rPr>
        <w:tab/>
      </w:r>
      <w:r>
        <w:rPr>
          <w:rFonts w:hint="eastAsia"/>
        </w:rPr>
        <w:tab/>
        <w:t xml:space="preserve">   </w:t>
      </w:r>
      <w:r>
        <w:rPr>
          <w:rFonts w:hint="eastAsia"/>
        </w:rPr>
        <w:tab/>
        <w:t xml:space="preserve">   </w:t>
      </w:r>
      <w:r w:rsidRPr="008B4802">
        <w:rPr>
          <w:rFonts w:ascii="標楷體" w:eastAsia="標楷體" w:hAnsi="標楷體" w:hint="eastAsia"/>
        </w:rPr>
        <w:t>(B)公司管理者不想降低持股比率</w:t>
      </w:r>
    </w:p>
    <w:p w:rsidR="00C31787" w:rsidRDefault="00C31787" w:rsidP="00C31787">
      <w:pPr>
        <w:ind w:firstLine="284"/>
      </w:pPr>
      <w:r w:rsidRPr="008B4802">
        <w:rPr>
          <w:rFonts w:ascii="標楷體" w:eastAsia="標楷體" w:hAnsi="標楷體" w:hint="eastAsia"/>
        </w:rPr>
        <w:t>(C)公司股價處於低水準時</w:t>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sidRPr="008B4802">
        <w:rPr>
          <w:rFonts w:ascii="標楷體" w:eastAsia="標楷體" w:hAnsi="標楷體" w:hint="eastAsia"/>
        </w:rPr>
        <w:t>(D)負債比率很高時</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5.</w:t>
      </w:r>
      <w:r w:rsidRPr="00C32EEE">
        <w:rPr>
          <w:rFonts w:ascii="標楷體" w:eastAsia="標楷體" w:hAnsi="標楷體" w:hint="eastAsia"/>
        </w:rPr>
        <w:t>當一國的貨幣升值時，對進出口的影響為何?</w:t>
      </w:r>
    </w:p>
    <w:p w:rsidR="00C31787" w:rsidRPr="008B4802" w:rsidRDefault="00C31787" w:rsidP="00C31787">
      <w:pPr>
        <w:tabs>
          <w:tab w:val="left" w:pos="284"/>
        </w:tabs>
        <w:rPr>
          <w:rFonts w:ascii="標楷體" w:eastAsia="標楷體" w:hAnsi="標楷體"/>
        </w:rPr>
      </w:pPr>
      <w:r>
        <w:rPr>
          <w:rFonts w:hint="eastAsia"/>
        </w:rPr>
        <w:tab/>
      </w:r>
      <w:r w:rsidRPr="008B4802">
        <w:rPr>
          <w:rFonts w:ascii="標楷體" w:eastAsia="標楷體" w:hAnsi="標楷體" w:hint="eastAsia"/>
        </w:rPr>
        <w:t>(A)有利進口，有利出口</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Pr>
          <w:rFonts w:ascii="標楷體" w:eastAsia="標楷體" w:hAnsi="標楷體" w:hint="eastAsia"/>
        </w:rPr>
        <w:tab/>
      </w:r>
      <w:r w:rsidRPr="008B4802">
        <w:rPr>
          <w:rFonts w:ascii="標楷體" w:eastAsia="標楷體" w:hAnsi="標楷體" w:hint="eastAsia"/>
        </w:rPr>
        <w:t>(B)有利進口，不利出口</w:t>
      </w:r>
    </w:p>
    <w:p w:rsidR="00C31787" w:rsidRPr="008B4802" w:rsidRDefault="00C31787" w:rsidP="00C31787">
      <w:pPr>
        <w:ind w:firstLine="308"/>
        <w:rPr>
          <w:rFonts w:ascii="標楷體" w:eastAsia="標楷體" w:hAnsi="標楷體"/>
        </w:rPr>
      </w:pPr>
      <w:r w:rsidRPr="008B4802">
        <w:rPr>
          <w:rFonts w:ascii="標楷體" w:eastAsia="標楷體" w:hAnsi="標楷體" w:hint="eastAsia"/>
        </w:rPr>
        <w:t>(C)不利進口，有利出口</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Pr>
          <w:rFonts w:ascii="標楷體" w:eastAsia="標楷體" w:hAnsi="標楷體" w:hint="eastAsia"/>
        </w:rPr>
        <w:tab/>
      </w:r>
      <w:r w:rsidRPr="008B4802">
        <w:rPr>
          <w:rFonts w:ascii="標楷體" w:eastAsia="標楷體" w:hAnsi="標楷體" w:hint="eastAsia"/>
        </w:rPr>
        <w:t>(D)不利進口，不利出口</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6.</w:t>
      </w:r>
      <w:r w:rsidRPr="00C32EEE">
        <w:rPr>
          <w:rFonts w:ascii="標楷體" w:eastAsia="標楷體" w:hAnsi="標楷體" w:hint="eastAsia"/>
        </w:rPr>
        <w:t>下列哪種產業最可能被歸屬於防禦性產業？</w:t>
      </w:r>
    </w:p>
    <w:p w:rsidR="00C31787" w:rsidRPr="008B4802" w:rsidRDefault="00C31787" w:rsidP="00C31787">
      <w:pPr>
        <w:ind w:firstLine="308"/>
        <w:rPr>
          <w:rFonts w:ascii="標楷體" w:eastAsia="標楷體" w:hAnsi="標楷體"/>
        </w:rPr>
      </w:pPr>
      <w:r w:rsidRPr="008B4802">
        <w:rPr>
          <w:rFonts w:ascii="標楷體" w:eastAsia="標楷體" w:hAnsi="標楷體" w:hint="eastAsia"/>
        </w:rPr>
        <w:t>(A)科技業</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Pr>
          <w:rFonts w:ascii="標楷體" w:eastAsia="標楷體" w:hAnsi="標楷體" w:hint="eastAsia"/>
        </w:rPr>
        <w:tab/>
      </w:r>
      <w:r w:rsidRPr="008B4802">
        <w:rPr>
          <w:rFonts w:ascii="標楷體" w:eastAsia="標楷體" w:hAnsi="標楷體" w:hint="eastAsia"/>
        </w:rPr>
        <w:t>(B)汽車業</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8B4802">
        <w:rPr>
          <w:rFonts w:ascii="標楷體" w:eastAsia="標楷體" w:hAnsi="標楷體" w:hint="eastAsia"/>
        </w:rPr>
        <w:t>(C)航空業</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8B4802">
        <w:rPr>
          <w:rFonts w:ascii="標楷體" w:eastAsia="標楷體" w:hAnsi="標楷體" w:hint="eastAsia"/>
        </w:rPr>
        <w:t>(D)成衣業</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7.</w:t>
      </w:r>
      <w:r w:rsidRPr="00C32EEE">
        <w:rPr>
          <w:rFonts w:ascii="標楷體" w:eastAsia="標楷體" w:hAnsi="標楷體" w:hint="eastAsia"/>
        </w:rPr>
        <w:t>其他條件相同，下列哪種事件最可能降低股票的本益比？</w:t>
      </w:r>
    </w:p>
    <w:p w:rsidR="00C31787" w:rsidRDefault="00C31787" w:rsidP="00C31787">
      <w:pPr>
        <w:ind w:firstLine="280"/>
        <w:rPr>
          <w:rFonts w:hint="eastAsia"/>
        </w:rPr>
      </w:pPr>
      <w:r w:rsidRPr="00DD1429">
        <w:rPr>
          <w:rFonts w:ascii="標楷體" w:eastAsia="標楷體" w:hAnsi="標楷體" w:hint="eastAsia"/>
        </w:rPr>
        <w:t>(A)投資人的風險規避傾向降低</w:t>
      </w:r>
      <w:r>
        <w:rPr>
          <w:rFonts w:hint="eastAsia"/>
        </w:rPr>
        <w:tab/>
      </w:r>
      <w:r>
        <w:rPr>
          <w:rFonts w:hint="eastAsia"/>
        </w:rPr>
        <w:tab/>
      </w:r>
      <w:r>
        <w:rPr>
          <w:rFonts w:hint="eastAsia"/>
        </w:rPr>
        <w:tab/>
      </w:r>
      <w:r>
        <w:rPr>
          <w:rFonts w:hint="eastAsia"/>
        </w:rPr>
        <w:tab/>
      </w:r>
      <w:r>
        <w:rPr>
          <w:rFonts w:hint="eastAsia"/>
        </w:rPr>
        <w:tab/>
        <w:t xml:space="preserve">   </w:t>
      </w:r>
      <w:r>
        <w:rPr>
          <w:rFonts w:hint="eastAsia"/>
        </w:rPr>
        <w:tab/>
      </w:r>
    </w:p>
    <w:p w:rsidR="00C31787" w:rsidRDefault="00C31787" w:rsidP="00C31787">
      <w:pPr>
        <w:ind w:firstLine="280"/>
      </w:pPr>
      <w:r w:rsidRPr="00DD1429">
        <w:rPr>
          <w:rFonts w:ascii="標楷體" w:eastAsia="標楷體" w:hAnsi="標楷體" w:hint="eastAsia"/>
        </w:rPr>
        <w:t>(B)股利發放率增加</w:t>
      </w:r>
    </w:p>
    <w:p w:rsidR="00C31787" w:rsidRDefault="00C31787" w:rsidP="00C31787">
      <w:pPr>
        <w:ind w:firstLine="280"/>
        <w:rPr>
          <w:rFonts w:hint="eastAsia"/>
        </w:rPr>
      </w:pPr>
      <w:r w:rsidRPr="00DD1429">
        <w:rPr>
          <w:rFonts w:ascii="標楷體" w:eastAsia="標楷體" w:hAnsi="標楷體" w:hint="eastAsia"/>
        </w:rPr>
        <w:t>(C)國庫券</w:t>
      </w:r>
      <w:proofErr w:type="gramStart"/>
      <w:r w:rsidRPr="00DD1429">
        <w:rPr>
          <w:rFonts w:ascii="標楷體" w:eastAsia="標楷體" w:hAnsi="標楷體" w:hint="eastAsia"/>
        </w:rPr>
        <w:t>殖</w:t>
      </w:r>
      <w:proofErr w:type="gramEnd"/>
      <w:r w:rsidRPr="00DD1429">
        <w:rPr>
          <w:rFonts w:ascii="標楷體" w:eastAsia="標楷體" w:hAnsi="標楷體" w:hint="eastAsia"/>
        </w:rPr>
        <w:t>利率增加</w:t>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rPr>
          <w:rFonts w:hint="eastAsia"/>
        </w:rPr>
        <w:tab/>
      </w:r>
    </w:p>
    <w:p w:rsidR="00C31787" w:rsidRDefault="00C31787" w:rsidP="00C31787">
      <w:pPr>
        <w:ind w:firstLine="280"/>
      </w:pPr>
      <w:r w:rsidRPr="00DD1429">
        <w:rPr>
          <w:rFonts w:ascii="標楷體" w:eastAsia="標楷體" w:hAnsi="標楷體" w:hint="eastAsia"/>
        </w:rPr>
        <w:t>(D)通貨膨脹預期下跌</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8</w:t>
      </w:r>
      <w:r w:rsidRPr="00C32EEE">
        <w:rPr>
          <w:rFonts w:ascii="標楷體" w:eastAsia="標楷體" w:hAnsi="標楷體" w:hint="eastAsia"/>
        </w:rPr>
        <w:t>.下列何者非景氣同時指標（Coincident indicator）？</w:t>
      </w:r>
    </w:p>
    <w:p w:rsidR="00C31787" w:rsidRPr="00DD1429" w:rsidRDefault="00C31787" w:rsidP="00C31787">
      <w:pPr>
        <w:ind w:firstLineChars="118" w:firstLine="283"/>
        <w:rPr>
          <w:rFonts w:ascii="標楷體" w:eastAsia="標楷體" w:hAnsi="標楷體"/>
        </w:rPr>
      </w:pPr>
      <w:r w:rsidRPr="00DD1429">
        <w:rPr>
          <w:rFonts w:ascii="標楷體" w:eastAsia="標楷體" w:hAnsi="標楷體" w:hint="eastAsia"/>
        </w:rPr>
        <w:t>(A)製造業銷售量指數</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sidRPr="00DD1429">
        <w:rPr>
          <w:rFonts w:ascii="標楷體" w:eastAsia="標楷體" w:hAnsi="標楷體" w:hint="eastAsia"/>
        </w:rPr>
        <w:t>(B)非農業部門就業人數</w:t>
      </w:r>
    </w:p>
    <w:p w:rsidR="00C31787" w:rsidRPr="00DD1429" w:rsidRDefault="00C31787" w:rsidP="00C31787">
      <w:pPr>
        <w:ind w:firstLineChars="118" w:firstLine="283"/>
        <w:rPr>
          <w:rFonts w:ascii="標楷體" w:eastAsia="標楷體" w:hAnsi="標楷體"/>
        </w:rPr>
      </w:pPr>
      <w:r w:rsidRPr="00DD1429">
        <w:rPr>
          <w:rFonts w:ascii="標楷體" w:eastAsia="標楷體" w:hAnsi="標楷體" w:hint="eastAsia"/>
        </w:rPr>
        <w:t>(C)實質貨幣總計數M1B</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t xml:space="preserve">   </w:t>
      </w:r>
      <w:r>
        <w:rPr>
          <w:rFonts w:ascii="標楷體" w:eastAsia="標楷體" w:hAnsi="標楷體" w:hint="eastAsia"/>
        </w:rPr>
        <w:tab/>
      </w:r>
      <w:r w:rsidRPr="00DD1429">
        <w:rPr>
          <w:rFonts w:ascii="標楷體" w:eastAsia="標楷體" w:hAnsi="標楷體" w:hint="eastAsia"/>
        </w:rPr>
        <w:t>(D)實質海關出口值</w:t>
      </w:r>
    </w:p>
    <w:p w:rsidR="00C31787" w:rsidRPr="00DD1429" w:rsidRDefault="00C31787" w:rsidP="00C31787">
      <w:pPr>
        <w:snapToGrid w:val="0"/>
        <w:spacing w:before="60" w:after="60" w:line="300" w:lineRule="atLeast"/>
        <w:ind w:left="480" w:hanging="480"/>
        <w:rPr>
          <w:rFonts w:ascii="標楷體" w:eastAsia="標楷體" w:hAnsi="標楷體" w:hint="eastAsia"/>
        </w:rPr>
      </w:pPr>
      <w:r>
        <w:rPr>
          <w:rFonts w:ascii="標楷體" w:eastAsia="標楷體" w:hAnsi="標楷體" w:hint="eastAsia"/>
        </w:rPr>
        <w:t>9.</w:t>
      </w:r>
      <w:r w:rsidRPr="00DD1429">
        <w:rPr>
          <w:rFonts w:ascii="標楷體" w:eastAsia="標楷體" w:hAnsi="標楷體" w:hint="eastAsia"/>
        </w:rPr>
        <w:t>投資人對成熟公司股票的預期報酬，主要來自於：</w:t>
      </w:r>
    </w:p>
    <w:p w:rsidR="00C31787" w:rsidRDefault="00C31787" w:rsidP="00C31787">
      <w:pPr>
        <w:tabs>
          <w:tab w:val="left" w:pos="276"/>
          <w:tab w:val="left" w:pos="3686"/>
          <w:tab w:val="left" w:pos="6180"/>
        </w:tabs>
        <w:snapToGrid w:val="0"/>
        <w:spacing w:before="60" w:after="60" w:line="300" w:lineRule="atLeast"/>
        <w:rPr>
          <w:rFonts w:ascii="標楷體" w:eastAsia="標楷體" w:hAnsi="標楷體" w:hint="eastAsia"/>
        </w:rPr>
      </w:pPr>
      <w:r>
        <w:rPr>
          <w:rFonts w:ascii="標楷體" w:eastAsia="標楷體" w:hAnsi="標楷體" w:hint="eastAsia"/>
        </w:rPr>
        <w:tab/>
      </w:r>
      <w:r w:rsidRPr="00DD1429">
        <w:rPr>
          <w:rFonts w:ascii="標楷體" w:eastAsia="標楷體" w:hAnsi="標楷體" w:hint="eastAsia"/>
        </w:rPr>
        <w:t>(</w:t>
      </w:r>
      <w:r>
        <w:rPr>
          <w:rFonts w:ascii="標楷體" w:eastAsia="標楷體" w:hAnsi="標楷體" w:hint="eastAsia"/>
        </w:rPr>
        <w:t>A</w:t>
      </w:r>
      <w:r w:rsidRPr="00DD1429">
        <w:rPr>
          <w:rFonts w:ascii="標楷體" w:eastAsia="標楷體" w:hAnsi="標楷體" w:hint="eastAsia"/>
        </w:rPr>
        <w:t>)公司銷售成長</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DD1429">
        <w:rPr>
          <w:rFonts w:ascii="標楷體" w:eastAsia="標楷體" w:hAnsi="標楷體" w:hint="eastAsia"/>
        </w:rPr>
        <w:t>(</w:t>
      </w:r>
      <w:r>
        <w:rPr>
          <w:rFonts w:ascii="標楷體" w:eastAsia="標楷體" w:hAnsi="標楷體" w:hint="eastAsia"/>
        </w:rPr>
        <w:t>B</w:t>
      </w:r>
      <w:r w:rsidRPr="00DD1429">
        <w:rPr>
          <w:rFonts w:ascii="標楷體" w:eastAsia="標楷體" w:hAnsi="標楷體" w:hint="eastAsia"/>
        </w:rPr>
        <w:t>)股票股利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p>
    <w:p w:rsidR="00C31787" w:rsidRDefault="00C31787" w:rsidP="00C31787">
      <w:pPr>
        <w:tabs>
          <w:tab w:val="left" w:pos="276"/>
          <w:tab w:val="left" w:pos="3686"/>
          <w:tab w:val="left" w:pos="6180"/>
        </w:tabs>
        <w:snapToGrid w:val="0"/>
        <w:spacing w:before="60" w:after="60" w:line="300" w:lineRule="atLeast"/>
        <w:rPr>
          <w:rFonts w:ascii="標楷體" w:eastAsia="標楷體" w:hAnsi="標楷體" w:hint="eastAsia"/>
        </w:rPr>
      </w:pPr>
      <w:r>
        <w:rPr>
          <w:rFonts w:ascii="標楷體" w:eastAsia="標楷體" w:hAnsi="標楷體" w:hint="eastAsia"/>
        </w:rPr>
        <w:tab/>
      </w:r>
      <w:r w:rsidRPr="00DD1429">
        <w:rPr>
          <w:rFonts w:ascii="標楷體" w:eastAsia="標楷體" w:hAnsi="標楷體" w:hint="eastAsia"/>
        </w:rPr>
        <w:t>(</w:t>
      </w:r>
      <w:r>
        <w:rPr>
          <w:rFonts w:ascii="標楷體" w:eastAsia="標楷體" w:hAnsi="標楷體" w:hint="eastAsia"/>
        </w:rPr>
        <w:t>C</w:t>
      </w:r>
      <w:r w:rsidRPr="00DD1429">
        <w:rPr>
          <w:rFonts w:ascii="標楷體" w:eastAsia="標楷體" w:hAnsi="標楷體" w:hint="eastAsia"/>
        </w:rPr>
        <w:t>)差價</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DD1429">
        <w:rPr>
          <w:rFonts w:ascii="標楷體" w:eastAsia="標楷體" w:hAnsi="標楷體" w:hint="eastAsia"/>
        </w:rPr>
        <w:t>(</w:t>
      </w:r>
      <w:r>
        <w:rPr>
          <w:rFonts w:ascii="標楷體" w:eastAsia="標楷體" w:hAnsi="標楷體" w:hint="eastAsia"/>
        </w:rPr>
        <w:t>D</w:t>
      </w:r>
      <w:r w:rsidRPr="00DD1429">
        <w:rPr>
          <w:rFonts w:ascii="標楷體" w:eastAsia="標楷體" w:hAnsi="標楷體" w:hint="eastAsia"/>
        </w:rPr>
        <w:t>)現金股利</w:t>
      </w:r>
    </w:p>
    <w:p w:rsidR="00C31787" w:rsidRPr="008B4802" w:rsidRDefault="00C31787" w:rsidP="00C31787">
      <w:pPr>
        <w:snapToGrid w:val="0"/>
        <w:spacing w:before="60" w:after="60" w:line="300" w:lineRule="atLeast"/>
        <w:rPr>
          <w:rFonts w:ascii="標楷體" w:eastAsia="標楷體" w:hAnsi="標楷體"/>
        </w:rPr>
      </w:pPr>
      <w:r>
        <w:rPr>
          <w:rFonts w:ascii="標楷體" w:eastAsia="標楷體" w:hAnsi="標楷體" w:hint="eastAsia"/>
        </w:rPr>
        <w:t>10</w:t>
      </w:r>
      <w:r>
        <w:rPr>
          <w:rFonts w:ascii="標楷體" w:eastAsia="標楷體" w:hAnsi="標楷體"/>
        </w:rPr>
        <w:t>.</w:t>
      </w:r>
      <w:r w:rsidRPr="008B4802">
        <w:rPr>
          <w:rFonts w:ascii="標楷體" w:eastAsia="標楷體" w:hAnsi="標楷體"/>
        </w:rPr>
        <w:t>何者為貨幣市場證券？</w:t>
      </w:r>
    </w:p>
    <w:p w:rsidR="00C31787" w:rsidRDefault="00C31787" w:rsidP="00C31787">
      <w:pPr>
        <w:snapToGrid w:val="0"/>
        <w:spacing w:before="20" w:after="20" w:line="280" w:lineRule="exact"/>
        <w:ind w:firstLine="294"/>
        <w:rPr>
          <w:rFonts w:ascii="標楷體" w:eastAsia="標楷體" w:hAnsi="標楷體" w:hint="eastAsia"/>
        </w:rPr>
      </w:pPr>
      <w:r w:rsidRPr="00B248B3">
        <w:rPr>
          <w:rFonts w:ascii="標楷體" w:eastAsia="標楷體" w:hAnsi="標楷體"/>
        </w:rPr>
        <w:t>(A)五年期的公司債</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B248B3" w:rsidRDefault="00C31787" w:rsidP="00C31787">
      <w:pPr>
        <w:snapToGrid w:val="0"/>
        <w:spacing w:before="20" w:after="20" w:line="280" w:lineRule="exact"/>
        <w:ind w:firstLine="294"/>
        <w:rPr>
          <w:rFonts w:ascii="標楷體" w:eastAsia="標楷體" w:hAnsi="標楷體"/>
        </w:rPr>
      </w:pPr>
      <w:r w:rsidRPr="00B248B3">
        <w:rPr>
          <w:rFonts w:ascii="標楷體" w:eastAsia="標楷體" w:hAnsi="標楷體"/>
        </w:rPr>
        <w:t>(B)普通股</w:t>
      </w:r>
    </w:p>
    <w:p w:rsidR="00C31787" w:rsidRDefault="00C31787" w:rsidP="00C31787">
      <w:pPr>
        <w:snapToGrid w:val="0"/>
        <w:spacing w:before="20" w:after="20" w:line="280" w:lineRule="exact"/>
        <w:ind w:firstLine="294"/>
        <w:rPr>
          <w:rFonts w:ascii="標楷體" w:eastAsia="標楷體" w:hAnsi="標楷體" w:hint="eastAsia"/>
        </w:rPr>
      </w:pPr>
      <w:r w:rsidRPr="00B248B3">
        <w:rPr>
          <w:rFonts w:ascii="標楷體" w:eastAsia="標楷體" w:hAnsi="標楷體"/>
        </w:rPr>
        <w:t>(C)二十年期的公司債</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B248B3" w:rsidRDefault="00C31787" w:rsidP="00C31787">
      <w:pPr>
        <w:snapToGrid w:val="0"/>
        <w:spacing w:before="20" w:after="20" w:line="280" w:lineRule="exact"/>
        <w:ind w:firstLine="294"/>
        <w:rPr>
          <w:rFonts w:ascii="標楷體" w:eastAsia="標楷體" w:hAnsi="標楷體"/>
        </w:rPr>
      </w:pPr>
      <w:r w:rsidRPr="00B248B3">
        <w:rPr>
          <w:rFonts w:ascii="標楷體" w:eastAsia="標楷體" w:hAnsi="標楷體"/>
        </w:rPr>
        <w:t>(D)三個月期的國庫券</w:t>
      </w:r>
    </w:p>
    <w:p w:rsidR="00C31787" w:rsidRPr="008B4802" w:rsidRDefault="00C31787" w:rsidP="00C31787">
      <w:pPr>
        <w:snapToGrid w:val="0"/>
        <w:spacing w:before="60" w:after="60" w:line="300" w:lineRule="atLeast"/>
        <w:ind w:left="336" w:hanging="336"/>
        <w:rPr>
          <w:rFonts w:ascii="標楷體" w:eastAsia="標楷體" w:hAnsi="標楷體"/>
        </w:rPr>
      </w:pPr>
      <w:r>
        <w:rPr>
          <w:rFonts w:ascii="標楷體" w:eastAsia="標楷體" w:hAnsi="標楷體" w:hint="eastAsia"/>
        </w:rPr>
        <w:t>11</w:t>
      </w:r>
      <w:r>
        <w:rPr>
          <w:rFonts w:ascii="標楷體" w:eastAsia="標楷體" w:hAnsi="標楷體"/>
        </w:rPr>
        <w:t>.</w:t>
      </w:r>
      <w:r w:rsidRPr="008B4802">
        <w:rPr>
          <w:rFonts w:ascii="標楷體" w:eastAsia="標楷體" w:hAnsi="標楷體"/>
        </w:rPr>
        <w:t>關於OBV分析法之敘述何者不正確？</w:t>
      </w:r>
    </w:p>
    <w:p w:rsidR="00C31787" w:rsidRPr="00B248B3" w:rsidRDefault="00C31787" w:rsidP="00C31787">
      <w:pPr>
        <w:snapToGrid w:val="0"/>
        <w:spacing w:before="20" w:after="20" w:line="280" w:lineRule="exact"/>
        <w:ind w:firstLine="322"/>
        <w:rPr>
          <w:rFonts w:ascii="標楷體" w:eastAsia="標楷體" w:hAnsi="標楷體"/>
        </w:rPr>
      </w:pPr>
      <w:r w:rsidRPr="00B248B3">
        <w:rPr>
          <w:rFonts w:ascii="標楷體" w:eastAsia="標楷體" w:hAnsi="標楷體"/>
        </w:rPr>
        <w:t>(A)買賣雙方的合理價格認定愈不一致，成交量越低</w:t>
      </w:r>
    </w:p>
    <w:p w:rsidR="00C31787" w:rsidRPr="00B248B3" w:rsidRDefault="00C31787" w:rsidP="00C31787">
      <w:pPr>
        <w:snapToGrid w:val="0"/>
        <w:spacing w:before="20" w:after="20" w:line="280" w:lineRule="exact"/>
        <w:ind w:firstLine="336"/>
        <w:rPr>
          <w:rFonts w:ascii="標楷體" w:eastAsia="標楷體" w:hAnsi="標楷體"/>
        </w:rPr>
      </w:pPr>
      <w:r w:rsidRPr="00B248B3">
        <w:rPr>
          <w:rFonts w:ascii="標楷體" w:eastAsia="標楷體" w:hAnsi="標楷體"/>
        </w:rPr>
        <w:t>(B)成交量上升所需的能量較下跌為多</w:t>
      </w:r>
    </w:p>
    <w:p w:rsidR="00C31787" w:rsidRPr="00B248B3" w:rsidRDefault="00C31787" w:rsidP="00C31787">
      <w:pPr>
        <w:snapToGrid w:val="0"/>
        <w:spacing w:before="20" w:after="20" w:line="280" w:lineRule="exact"/>
        <w:ind w:firstLine="336"/>
        <w:rPr>
          <w:rFonts w:ascii="標楷體" w:eastAsia="標楷體" w:hAnsi="標楷體"/>
        </w:rPr>
      </w:pPr>
      <w:r w:rsidRPr="00B248B3">
        <w:rPr>
          <w:rFonts w:ascii="標楷體" w:eastAsia="標楷體" w:hAnsi="標楷體"/>
        </w:rPr>
        <w:t>(C)股性愈活潑的股票，投資者繼續投入傾向愈高，類似物理學慣性原理</w:t>
      </w:r>
    </w:p>
    <w:p w:rsidR="00C31787" w:rsidRPr="00B248B3" w:rsidRDefault="00C31787" w:rsidP="00C31787">
      <w:pPr>
        <w:snapToGrid w:val="0"/>
        <w:spacing w:before="20" w:after="20" w:line="280" w:lineRule="exact"/>
        <w:ind w:firstLine="350"/>
        <w:rPr>
          <w:rFonts w:ascii="標楷體" w:eastAsia="標楷體" w:hAnsi="標楷體"/>
        </w:rPr>
      </w:pPr>
      <w:r w:rsidRPr="00B248B3">
        <w:rPr>
          <w:rFonts w:ascii="標楷體" w:eastAsia="標楷體" w:hAnsi="標楷體"/>
        </w:rPr>
        <w:t>(D)成交量上升至某一程度終將下跌</w:t>
      </w:r>
    </w:p>
    <w:p w:rsidR="00C31787" w:rsidRPr="008B4802" w:rsidRDefault="00C31787" w:rsidP="00C31787">
      <w:pPr>
        <w:snapToGrid w:val="0"/>
        <w:spacing w:before="60" w:after="60" w:line="300" w:lineRule="atLeast"/>
        <w:ind w:left="392" w:hanging="373"/>
        <w:rPr>
          <w:rFonts w:ascii="標楷體" w:eastAsia="標楷體" w:hAnsi="標楷體"/>
        </w:rPr>
      </w:pPr>
      <w:r>
        <w:rPr>
          <w:rFonts w:ascii="標楷體" w:eastAsia="標楷體" w:hAnsi="標楷體" w:hint="eastAsia"/>
        </w:rPr>
        <w:lastRenderedPageBreak/>
        <w:t>12</w:t>
      </w:r>
      <w:r>
        <w:rPr>
          <w:rFonts w:ascii="標楷體" w:eastAsia="標楷體" w:hAnsi="標楷體"/>
        </w:rPr>
        <w:t>.</w:t>
      </w:r>
      <w:r w:rsidRPr="008B4802">
        <w:rPr>
          <w:rFonts w:ascii="標楷體" w:eastAsia="標楷體" w:hAnsi="標楷體"/>
        </w:rPr>
        <w:t>有一投資組合由甲、乙兩股票組成，請問在什麼情況之下，投資組合報酬率之標準差為甲、乙兩股票個別標準差之加權平均?</w:t>
      </w:r>
    </w:p>
    <w:p w:rsidR="00C31787" w:rsidRDefault="00C31787" w:rsidP="00C31787">
      <w:pPr>
        <w:snapToGrid w:val="0"/>
        <w:spacing w:before="20" w:after="20" w:line="280" w:lineRule="exact"/>
        <w:ind w:firstLine="406"/>
        <w:rPr>
          <w:rFonts w:ascii="標楷體" w:eastAsia="標楷體" w:hAnsi="標楷體" w:hint="eastAsia"/>
        </w:rPr>
      </w:pPr>
      <w:r w:rsidRPr="00B248B3">
        <w:rPr>
          <w:rFonts w:ascii="標楷體" w:eastAsia="標楷體" w:hAnsi="標楷體"/>
        </w:rPr>
        <w:t>(A)兩股票報酬率相關係數＝0</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Default="00C31787" w:rsidP="00C31787">
      <w:pPr>
        <w:snapToGrid w:val="0"/>
        <w:spacing w:before="20" w:after="20" w:line="280" w:lineRule="exact"/>
        <w:ind w:firstLine="406"/>
        <w:rPr>
          <w:rFonts w:ascii="標楷體" w:eastAsia="標楷體" w:hAnsi="標楷體" w:hint="eastAsia"/>
        </w:rPr>
      </w:pPr>
      <w:r w:rsidRPr="00B248B3">
        <w:rPr>
          <w:rFonts w:ascii="標楷體" w:eastAsia="標楷體" w:hAnsi="標楷體"/>
        </w:rPr>
        <w:t>(B)兩股票報酬率相關係數＝1</w:t>
      </w:r>
    </w:p>
    <w:p w:rsidR="00C31787" w:rsidRDefault="00C31787" w:rsidP="00C31787">
      <w:pPr>
        <w:snapToGrid w:val="0"/>
        <w:spacing w:before="20" w:after="20" w:line="280" w:lineRule="exact"/>
        <w:ind w:firstLine="406"/>
        <w:rPr>
          <w:rFonts w:ascii="標楷體" w:eastAsia="標楷體" w:hAnsi="標楷體" w:hint="eastAsia"/>
        </w:rPr>
      </w:pPr>
      <w:r w:rsidRPr="00B248B3">
        <w:rPr>
          <w:rFonts w:ascii="標楷體" w:eastAsia="標楷體" w:hAnsi="標楷體"/>
        </w:rPr>
        <w:t>(C)兩股票報酬率相關係數＝－1</w:t>
      </w:r>
      <w:r>
        <w:rPr>
          <w:rFonts w:ascii="標楷體" w:eastAsia="標楷體" w:hAnsi="標楷體" w:hint="eastAsia"/>
        </w:rPr>
        <w:t xml:space="preserve">      </w:t>
      </w:r>
      <w:r>
        <w:rPr>
          <w:rFonts w:ascii="標楷體" w:eastAsia="標楷體" w:hAnsi="標楷體" w:hint="eastAsia"/>
        </w:rPr>
        <w:tab/>
      </w:r>
    </w:p>
    <w:p w:rsidR="00C31787" w:rsidRPr="00FE6FD3" w:rsidRDefault="00C31787" w:rsidP="00C31787">
      <w:pPr>
        <w:snapToGrid w:val="0"/>
        <w:spacing w:before="20" w:after="20" w:line="280" w:lineRule="exact"/>
        <w:ind w:firstLine="406"/>
        <w:rPr>
          <w:rFonts w:ascii="標楷體" w:eastAsia="標楷體" w:hAnsi="標楷體"/>
          <w:spacing w:val="-6"/>
        </w:rPr>
      </w:pPr>
      <w:r w:rsidRPr="00B248B3">
        <w:rPr>
          <w:rFonts w:ascii="標楷體" w:eastAsia="標楷體" w:hAnsi="標楷體"/>
        </w:rPr>
        <w:t>(D)</w:t>
      </w:r>
      <w:r w:rsidRPr="00FE6FD3">
        <w:rPr>
          <w:rFonts w:ascii="標楷體" w:eastAsia="標楷體" w:hAnsi="標楷體"/>
          <w:spacing w:val="-6"/>
        </w:rPr>
        <w:t>任何情況下，投資組合標準</w:t>
      </w:r>
      <w:proofErr w:type="gramStart"/>
      <w:r w:rsidRPr="00FE6FD3">
        <w:rPr>
          <w:rFonts w:ascii="標楷體" w:eastAsia="標楷體" w:hAnsi="標楷體"/>
          <w:spacing w:val="-6"/>
        </w:rPr>
        <w:t>差均為個別</w:t>
      </w:r>
      <w:proofErr w:type="gramEnd"/>
      <w:r w:rsidRPr="00FE6FD3">
        <w:rPr>
          <w:rFonts w:ascii="標楷體" w:eastAsia="標楷體" w:hAnsi="標楷體"/>
          <w:spacing w:val="-6"/>
        </w:rPr>
        <w:t>標準差之加權平均</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13</w:t>
      </w:r>
      <w:r>
        <w:rPr>
          <w:rFonts w:ascii="標楷體" w:eastAsia="標楷體" w:hAnsi="標楷體"/>
        </w:rPr>
        <w:t>.</w:t>
      </w:r>
      <w:r w:rsidRPr="008B4802">
        <w:rPr>
          <w:rFonts w:ascii="標楷體" w:eastAsia="標楷體" w:hAnsi="標楷體"/>
        </w:rPr>
        <w:t>何者為效率市場的定義？</w:t>
      </w:r>
    </w:p>
    <w:p w:rsidR="00C31787" w:rsidRPr="00B248B3" w:rsidRDefault="00C31787" w:rsidP="00C31787">
      <w:pPr>
        <w:tabs>
          <w:tab w:val="left" w:pos="406"/>
        </w:tabs>
        <w:snapToGrid w:val="0"/>
        <w:spacing w:before="20" w:after="20" w:line="280" w:lineRule="exact"/>
        <w:rPr>
          <w:rFonts w:ascii="標楷體" w:eastAsia="標楷體" w:hAnsi="標楷體"/>
        </w:rPr>
      </w:pPr>
      <w:r>
        <w:rPr>
          <w:rFonts w:ascii="標楷體" w:eastAsia="標楷體" w:hAnsi="標楷體" w:hint="eastAsia"/>
        </w:rPr>
        <w:tab/>
      </w:r>
      <w:r w:rsidRPr="00B248B3">
        <w:rPr>
          <w:rFonts w:ascii="標楷體" w:eastAsia="標楷體" w:hAnsi="標楷體"/>
        </w:rPr>
        <w:t>(A)政府不以人為的手段干預市場，讓市場自由發展</w:t>
      </w:r>
    </w:p>
    <w:p w:rsidR="00C31787" w:rsidRPr="00B248B3" w:rsidRDefault="00C31787" w:rsidP="00C31787">
      <w:pPr>
        <w:tabs>
          <w:tab w:val="left" w:pos="276"/>
        </w:tabs>
        <w:snapToGrid w:val="0"/>
        <w:spacing w:before="20" w:after="20" w:line="280" w:lineRule="exact"/>
        <w:rPr>
          <w:rFonts w:ascii="標楷體" w:eastAsia="標楷體" w:hAnsi="標楷體"/>
        </w:rPr>
      </w:pPr>
      <w:r>
        <w:rPr>
          <w:rFonts w:ascii="標楷體" w:eastAsia="標楷體" w:hAnsi="標楷體" w:hint="eastAsia"/>
        </w:rPr>
        <w:tab/>
        <w:t xml:space="preserve"> </w:t>
      </w:r>
      <w:r w:rsidRPr="00B248B3">
        <w:rPr>
          <w:rFonts w:ascii="標楷體" w:eastAsia="標楷體" w:hAnsi="標楷體"/>
        </w:rPr>
        <w:t>(B)市場無交易成本、稅負以及其他障礙</w:t>
      </w:r>
    </w:p>
    <w:p w:rsidR="00C31787" w:rsidRPr="00B248B3" w:rsidRDefault="00C31787" w:rsidP="00C31787">
      <w:pPr>
        <w:tabs>
          <w:tab w:val="left" w:pos="276"/>
        </w:tabs>
        <w:snapToGrid w:val="0"/>
        <w:spacing w:before="20" w:after="20" w:line="280" w:lineRule="exact"/>
        <w:rPr>
          <w:rFonts w:ascii="標楷體" w:eastAsia="標楷體" w:hAnsi="標楷體"/>
        </w:rPr>
      </w:pPr>
      <w:r>
        <w:rPr>
          <w:rFonts w:ascii="標楷體" w:eastAsia="標楷體" w:hAnsi="標楷體" w:hint="eastAsia"/>
        </w:rPr>
        <w:tab/>
        <w:t xml:space="preserve"> </w:t>
      </w:r>
      <w:r w:rsidRPr="00B248B3">
        <w:rPr>
          <w:rFonts w:ascii="標楷體" w:eastAsia="標楷體" w:hAnsi="標楷體"/>
        </w:rPr>
        <w:t>(C)市場能夠迅速正確反應所有</w:t>
      </w:r>
      <w:proofErr w:type="gramStart"/>
      <w:r w:rsidRPr="00B248B3">
        <w:rPr>
          <w:rFonts w:ascii="標楷體" w:eastAsia="標楷體" w:hAnsi="標楷體"/>
        </w:rPr>
        <w:t>攸</w:t>
      </w:r>
      <w:proofErr w:type="gramEnd"/>
      <w:r w:rsidRPr="00B248B3">
        <w:rPr>
          <w:rFonts w:ascii="標楷體" w:eastAsia="標楷體" w:hAnsi="標楷體"/>
        </w:rPr>
        <w:t>關資訊，所有投資者將無法利用任何資訊賺取超額的報酬</w:t>
      </w:r>
    </w:p>
    <w:p w:rsidR="00C31787" w:rsidRPr="00B248B3" w:rsidRDefault="00C31787" w:rsidP="00C31787">
      <w:pPr>
        <w:snapToGrid w:val="0"/>
        <w:spacing w:before="20" w:after="20" w:line="280" w:lineRule="exact"/>
        <w:ind w:left="283" w:hangingChars="118" w:hanging="283"/>
        <w:rPr>
          <w:rFonts w:ascii="標楷體" w:eastAsia="標楷體" w:hAnsi="標楷體"/>
        </w:rPr>
      </w:pPr>
      <w:r>
        <w:rPr>
          <w:rFonts w:ascii="標楷體" w:eastAsia="標楷體" w:hAnsi="標楷體" w:hint="eastAsia"/>
        </w:rPr>
        <w:tab/>
        <w:t xml:space="preserve"> </w:t>
      </w:r>
      <w:r w:rsidRPr="00B248B3">
        <w:rPr>
          <w:rFonts w:ascii="標楷體" w:eastAsia="標楷體" w:hAnsi="標楷體"/>
        </w:rPr>
        <w:t>(D)市場交易的作業流程完全電腦化</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14.</w:t>
      </w:r>
      <w:r w:rsidRPr="008B4802">
        <w:rPr>
          <w:rFonts w:ascii="標楷體" w:eastAsia="標楷體" w:hAnsi="標楷體" w:hint="eastAsia"/>
        </w:rPr>
        <w:t>有效率的投資組合為：</w:t>
      </w:r>
    </w:p>
    <w:p w:rsidR="00C31787" w:rsidRPr="00B248B3" w:rsidRDefault="00C31787" w:rsidP="00C31787">
      <w:pPr>
        <w:snapToGrid w:val="0"/>
        <w:spacing w:before="20" w:after="20" w:line="280" w:lineRule="exact"/>
        <w:ind w:firstLine="378"/>
        <w:rPr>
          <w:rFonts w:ascii="標楷體" w:eastAsia="標楷體" w:hAnsi="標楷體"/>
        </w:rPr>
      </w:pPr>
      <w:r w:rsidRPr="00B248B3">
        <w:rPr>
          <w:rFonts w:ascii="標楷體" w:eastAsia="標楷體" w:hAnsi="標楷體" w:hint="eastAsia"/>
        </w:rPr>
        <w:t>(A)在相同風險下，有最高的預期報酬，且在相同預期報酬下，有最低之風險者</w:t>
      </w:r>
    </w:p>
    <w:p w:rsidR="00C31787" w:rsidRPr="00B248B3" w:rsidRDefault="00C31787" w:rsidP="00C31787">
      <w:pPr>
        <w:snapToGrid w:val="0"/>
        <w:spacing w:before="20" w:after="20" w:line="280" w:lineRule="exact"/>
        <w:ind w:firstLine="378"/>
        <w:rPr>
          <w:rFonts w:ascii="標楷體" w:eastAsia="標楷體" w:hAnsi="標楷體"/>
        </w:rPr>
      </w:pPr>
      <w:r w:rsidRPr="00B248B3">
        <w:rPr>
          <w:rFonts w:ascii="標楷體" w:eastAsia="標楷體" w:hAnsi="標楷體" w:hint="eastAsia"/>
        </w:rPr>
        <w:t>(B)在相同的預期報酬下，有最高之風險</w:t>
      </w:r>
    </w:p>
    <w:p w:rsidR="00C31787" w:rsidRPr="00B248B3" w:rsidRDefault="00C31787" w:rsidP="00C31787">
      <w:pPr>
        <w:snapToGrid w:val="0"/>
        <w:spacing w:before="20" w:after="20" w:line="280" w:lineRule="exact"/>
        <w:ind w:firstLine="378"/>
        <w:rPr>
          <w:rFonts w:ascii="標楷體" w:eastAsia="標楷體" w:hAnsi="標楷體"/>
        </w:rPr>
      </w:pPr>
      <w:r w:rsidRPr="00B248B3">
        <w:rPr>
          <w:rFonts w:ascii="標楷體" w:eastAsia="標楷體" w:hAnsi="標楷體" w:hint="eastAsia"/>
        </w:rPr>
        <w:t>(C)有最低的風險及報酬</w:t>
      </w:r>
    </w:p>
    <w:p w:rsidR="00C31787" w:rsidRPr="00B248B3" w:rsidRDefault="00C31787" w:rsidP="00C31787">
      <w:pPr>
        <w:snapToGrid w:val="0"/>
        <w:spacing w:before="20" w:after="20" w:line="280" w:lineRule="exact"/>
        <w:ind w:firstLine="392"/>
        <w:rPr>
          <w:rFonts w:ascii="標楷體" w:eastAsia="標楷體" w:hAnsi="標楷體"/>
        </w:rPr>
      </w:pPr>
      <w:r w:rsidRPr="00B248B3">
        <w:rPr>
          <w:rFonts w:ascii="標楷體" w:eastAsia="標楷體" w:hAnsi="標楷體" w:hint="eastAsia"/>
        </w:rPr>
        <w:t>(D)有最高的風險及報酬</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15</w:t>
      </w:r>
      <w:r>
        <w:rPr>
          <w:rFonts w:ascii="標楷體" w:eastAsia="標楷體" w:hAnsi="標楷體"/>
        </w:rPr>
        <w:t>.</w:t>
      </w:r>
      <w:r w:rsidRPr="008B4802">
        <w:rPr>
          <w:rFonts w:ascii="標楷體" w:eastAsia="標楷體" w:hAnsi="標楷體"/>
        </w:rPr>
        <w:t>股價指數屬於景氣指標中的：</w:t>
      </w:r>
    </w:p>
    <w:p w:rsidR="00C31787" w:rsidRPr="00B248B3" w:rsidRDefault="00C31787" w:rsidP="00C31787">
      <w:pPr>
        <w:tabs>
          <w:tab w:val="left" w:pos="378"/>
          <w:tab w:val="left" w:pos="5616"/>
          <w:tab w:val="left" w:pos="8647"/>
        </w:tabs>
        <w:snapToGrid w:val="0"/>
        <w:spacing w:before="20" w:after="20" w:line="280" w:lineRule="exact"/>
        <w:rPr>
          <w:rFonts w:ascii="標楷體" w:eastAsia="標楷體" w:hAnsi="標楷體"/>
        </w:rPr>
      </w:pPr>
      <w:r>
        <w:rPr>
          <w:rFonts w:ascii="標楷體" w:eastAsia="標楷體" w:hAnsi="標楷體" w:hint="eastAsia"/>
        </w:rPr>
        <w:tab/>
      </w:r>
      <w:r w:rsidRPr="00B248B3">
        <w:rPr>
          <w:rFonts w:ascii="標楷體" w:eastAsia="標楷體" w:hAnsi="標楷體"/>
        </w:rPr>
        <w:t>(A)領先經濟指標</w:t>
      </w:r>
      <w:r>
        <w:rPr>
          <w:rFonts w:ascii="標楷體" w:eastAsia="標楷體" w:hAnsi="標楷體" w:hint="eastAsia"/>
        </w:rPr>
        <w:tab/>
      </w:r>
      <w:r w:rsidRPr="00B248B3">
        <w:rPr>
          <w:rFonts w:ascii="標楷體" w:eastAsia="標楷體" w:hAnsi="標楷體"/>
        </w:rPr>
        <w:t>(B)即時經濟指標</w:t>
      </w:r>
    </w:p>
    <w:p w:rsidR="00C31787" w:rsidRPr="00B248B3" w:rsidRDefault="00C31787" w:rsidP="00C31787">
      <w:pPr>
        <w:tabs>
          <w:tab w:val="left" w:pos="378"/>
        </w:tabs>
        <w:snapToGrid w:val="0"/>
        <w:spacing w:before="20" w:after="20" w:line="280" w:lineRule="exact"/>
        <w:rPr>
          <w:rFonts w:ascii="標楷體" w:eastAsia="標楷體" w:hAnsi="標楷體"/>
        </w:rPr>
      </w:pPr>
      <w:r>
        <w:rPr>
          <w:rFonts w:ascii="標楷體" w:eastAsia="標楷體" w:hAnsi="標楷體" w:hint="eastAsia"/>
        </w:rPr>
        <w:tab/>
      </w:r>
      <w:r w:rsidRPr="00B248B3">
        <w:rPr>
          <w:rFonts w:ascii="標楷體" w:eastAsia="標楷體" w:hAnsi="標楷體"/>
        </w:rPr>
        <w:t>(C)落後經濟指標</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Pr>
          <w:rFonts w:ascii="標楷體" w:eastAsia="標楷體" w:hAnsi="標楷體" w:hint="eastAsia"/>
        </w:rPr>
        <w:tab/>
      </w:r>
      <w:r>
        <w:rPr>
          <w:rFonts w:ascii="標楷體" w:eastAsia="標楷體" w:hAnsi="標楷體" w:hint="eastAsia"/>
        </w:rPr>
        <w:tab/>
        <w:t xml:space="preserve">   </w:t>
      </w:r>
      <w:r w:rsidRPr="00B248B3">
        <w:rPr>
          <w:rFonts w:ascii="標楷體" w:eastAsia="標楷體" w:hAnsi="標楷體"/>
        </w:rPr>
        <w:t>(D)警戒經濟指標</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16</w:t>
      </w:r>
      <w:r>
        <w:rPr>
          <w:rFonts w:ascii="標楷體" w:eastAsia="標楷體" w:hAnsi="標楷體"/>
        </w:rPr>
        <w:t>.</w:t>
      </w:r>
      <w:r w:rsidRPr="008B4802">
        <w:rPr>
          <w:rFonts w:ascii="標楷體" w:eastAsia="標楷體" w:hAnsi="標楷體"/>
        </w:rPr>
        <w:t>組合型基金至少需投資幾檔子基金？</w:t>
      </w:r>
    </w:p>
    <w:p w:rsidR="00C31787" w:rsidRPr="00B248B3" w:rsidRDefault="00C31787" w:rsidP="00C31787">
      <w:pPr>
        <w:tabs>
          <w:tab w:val="left" w:pos="426"/>
        </w:tabs>
        <w:snapToGrid w:val="0"/>
        <w:spacing w:before="20" w:after="20" w:line="280" w:lineRule="exact"/>
        <w:rPr>
          <w:rFonts w:ascii="標楷體" w:eastAsia="標楷體" w:hAnsi="標楷體"/>
        </w:rPr>
      </w:pPr>
      <w:r>
        <w:rPr>
          <w:rFonts w:ascii="標楷體" w:eastAsia="標楷體" w:hAnsi="標楷體" w:hint="eastAsia"/>
        </w:rPr>
        <w:tab/>
      </w:r>
      <w:r w:rsidRPr="00B248B3">
        <w:rPr>
          <w:rFonts w:ascii="標楷體" w:eastAsia="標楷體" w:hAnsi="標楷體"/>
        </w:rPr>
        <w:t>(A)2檔</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248B3">
        <w:rPr>
          <w:rFonts w:ascii="標楷體" w:eastAsia="標楷體" w:hAnsi="標楷體"/>
        </w:rPr>
        <w:t>(B)3檔</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248B3">
        <w:rPr>
          <w:rFonts w:ascii="標楷體" w:eastAsia="標楷體" w:hAnsi="標楷體"/>
        </w:rPr>
        <w:t>C)5檔</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248B3">
        <w:rPr>
          <w:rFonts w:ascii="標楷體" w:eastAsia="標楷體" w:hAnsi="標楷體"/>
        </w:rPr>
        <w:t>(D)10檔</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17</w:t>
      </w:r>
      <w:r>
        <w:rPr>
          <w:rFonts w:ascii="標楷體" w:eastAsia="標楷體" w:hAnsi="標楷體"/>
        </w:rPr>
        <w:t>.</w:t>
      </w:r>
      <w:r w:rsidRPr="00C32EEE">
        <w:rPr>
          <w:rFonts w:ascii="標楷體" w:eastAsia="標楷體" w:hAnsi="標楷體"/>
        </w:rPr>
        <w:t>金融市場可分為：</w:t>
      </w:r>
    </w:p>
    <w:p w:rsidR="00C31787" w:rsidRPr="00B248B3" w:rsidRDefault="00C31787" w:rsidP="00C31787">
      <w:pPr>
        <w:snapToGrid w:val="0"/>
        <w:spacing w:before="20" w:after="20" w:line="280" w:lineRule="exact"/>
        <w:ind w:firstLine="360"/>
        <w:rPr>
          <w:rFonts w:ascii="標楷體" w:eastAsia="標楷體" w:hAnsi="標楷體"/>
        </w:rPr>
      </w:pPr>
      <w:r w:rsidRPr="00B248B3">
        <w:rPr>
          <w:rFonts w:ascii="標楷體" w:eastAsia="標楷體" w:hAnsi="標楷體"/>
        </w:rPr>
        <w:t>(A)匯率市場和貨幣市場</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248B3">
        <w:rPr>
          <w:rFonts w:ascii="標楷體" w:eastAsia="標楷體" w:hAnsi="標楷體"/>
        </w:rPr>
        <w:t>(B)債券市場和股票市場</w:t>
      </w:r>
    </w:p>
    <w:p w:rsidR="00C31787" w:rsidRPr="00B248B3" w:rsidRDefault="00C31787" w:rsidP="00C31787">
      <w:pPr>
        <w:snapToGrid w:val="0"/>
        <w:spacing w:before="20" w:after="20" w:line="280" w:lineRule="exact"/>
        <w:ind w:firstLine="360"/>
        <w:rPr>
          <w:rFonts w:ascii="標楷體" w:eastAsia="標楷體" w:hAnsi="標楷體"/>
        </w:rPr>
      </w:pPr>
      <w:r w:rsidRPr="00B248B3">
        <w:rPr>
          <w:rFonts w:ascii="標楷體" w:eastAsia="標楷體" w:hAnsi="標楷體"/>
        </w:rPr>
        <w:t>(C)資本市場和貨幣市場</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248B3">
        <w:rPr>
          <w:rFonts w:ascii="標楷體" w:eastAsia="標楷體" w:hAnsi="標楷體"/>
        </w:rPr>
        <w:t>(D)上市交易及上櫃交易</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18</w:t>
      </w:r>
      <w:r>
        <w:rPr>
          <w:rFonts w:ascii="標楷體" w:eastAsia="標楷體" w:hAnsi="標楷體"/>
        </w:rPr>
        <w:t>.</w:t>
      </w:r>
      <w:r w:rsidRPr="00C32EEE">
        <w:rPr>
          <w:rFonts w:ascii="標楷體" w:eastAsia="標楷體" w:hAnsi="標楷體"/>
        </w:rPr>
        <w:t>未被股市預期的利率下跌，將造成股價：</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(A)下跌</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A653F">
        <w:rPr>
          <w:rFonts w:ascii="標楷體" w:eastAsia="標楷體" w:hAnsi="標楷體"/>
        </w:rPr>
        <w:t>(B)上漲</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(C)不一定下跌或上漲</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A653F">
        <w:rPr>
          <w:rFonts w:ascii="標楷體" w:eastAsia="標楷體" w:hAnsi="標楷體"/>
        </w:rPr>
        <w:t>(D)先跌後漲</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19</w:t>
      </w:r>
      <w:r>
        <w:rPr>
          <w:rFonts w:ascii="標楷體" w:eastAsia="標楷體" w:hAnsi="標楷體"/>
        </w:rPr>
        <w:t>.</w:t>
      </w:r>
      <w:r w:rsidRPr="00C32EEE">
        <w:rPr>
          <w:rFonts w:ascii="標楷體" w:eastAsia="標楷體" w:hAnsi="標楷體"/>
        </w:rPr>
        <w:t>對獲利不佳的資產股而言，下列何種評價方法較適當？</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(A)本益比法</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A653F">
        <w:rPr>
          <w:rFonts w:ascii="標楷體" w:eastAsia="標楷體" w:hAnsi="標楷體"/>
        </w:rPr>
        <w:t>(B)現金流量折價法</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(C)每股股價除以每股重估淨值</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A653F">
        <w:rPr>
          <w:rFonts w:ascii="標楷體" w:eastAsia="標楷體" w:hAnsi="標楷體"/>
        </w:rPr>
        <w:t>(D)股利</w:t>
      </w:r>
      <w:proofErr w:type="gramStart"/>
      <w:r w:rsidRPr="00BA653F">
        <w:rPr>
          <w:rFonts w:ascii="標楷體" w:eastAsia="標楷體" w:hAnsi="標楷體"/>
        </w:rPr>
        <w:t>殖</w:t>
      </w:r>
      <w:proofErr w:type="gramEnd"/>
      <w:r w:rsidRPr="00BA653F">
        <w:rPr>
          <w:rFonts w:ascii="標楷體" w:eastAsia="標楷體" w:hAnsi="標楷體"/>
        </w:rPr>
        <w:t>利率</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20</w:t>
      </w:r>
      <w:r>
        <w:rPr>
          <w:rFonts w:ascii="標楷體" w:eastAsia="標楷體" w:hAnsi="標楷體"/>
        </w:rPr>
        <w:t>.</w:t>
      </w:r>
      <w:r w:rsidRPr="00C32EEE">
        <w:rPr>
          <w:rFonts w:ascii="標楷體" w:eastAsia="標楷體" w:hAnsi="標楷體"/>
        </w:rPr>
        <w:t>K線的實體部分，代表：</w:t>
      </w:r>
    </w:p>
    <w:p w:rsidR="00C31787" w:rsidRPr="00BA653F" w:rsidRDefault="00C31787" w:rsidP="00C31787">
      <w:pPr>
        <w:snapToGrid w:val="0"/>
        <w:spacing w:before="20" w:after="20" w:line="280" w:lineRule="exact"/>
        <w:ind w:firstLine="392"/>
        <w:rPr>
          <w:rFonts w:ascii="標楷體" w:eastAsia="標楷體" w:hAnsi="標楷體"/>
        </w:rPr>
      </w:pPr>
      <w:r>
        <w:rPr>
          <w:rFonts w:ascii="標楷體" w:eastAsia="標楷體" w:hAnsi="標楷體"/>
        </w:rPr>
        <w:t>(A)</w:t>
      </w:r>
      <w:proofErr w:type="gramStart"/>
      <w:r w:rsidRPr="00BA653F">
        <w:rPr>
          <w:rFonts w:ascii="標楷體" w:eastAsia="標楷體" w:hAnsi="標楷體"/>
        </w:rPr>
        <w:t>最</w:t>
      </w:r>
      <w:proofErr w:type="gramEnd"/>
      <w:r w:rsidRPr="00BA653F">
        <w:rPr>
          <w:rFonts w:ascii="標楷體" w:eastAsia="標楷體" w:hAnsi="標楷體"/>
        </w:rPr>
        <w:t>高價與最低價的變動範圍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A653F">
        <w:rPr>
          <w:rFonts w:ascii="標楷體" w:eastAsia="標楷體" w:hAnsi="標楷體"/>
        </w:rPr>
        <w:t>(B)開盤價與收盤價的變動範圍</w:t>
      </w:r>
    </w:p>
    <w:p w:rsidR="00C31787" w:rsidRPr="00BA653F"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(C)</w:t>
      </w:r>
      <w:proofErr w:type="gramStart"/>
      <w:r w:rsidRPr="00BA653F">
        <w:rPr>
          <w:rFonts w:ascii="標楷體" w:eastAsia="標楷體" w:hAnsi="標楷體"/>
        </w:rPr>
        <w:t>最</w:t>
      </w:r>
      <w:proofErr w:type="gramEnd"/>
      <w:r w:rsidRPr="00BA653F">
        <w:rPr>
          <w:rFonts w:ascii="標楷體" w:eastAsia="標楷體" w:hAnsi="標楷體"/>
        </w:rPr>
        <w:t>高價與收盤價的變動範圍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t xml:space="preserve">   </w:t>
      </w:r>
      <w:r w:rsidRPr="00BA653F">
        <w:rPr>
          <w:rFonts w:ascii="標楷體" w:eastAsia="標楷體" w:hAnsi="標楷體"/>
        </w:rPr>
        <w:t>(D)開盤價與最低價的變動範圍</w:t>
      </w:r>
    </w:p>
    <w:p w:rsidR="00C31787" w:rsidRPr="00C32EEE" w:rsidRDefault="00C31787" w:rsidP="00C31787">
      <w:pPr>
        <w:snapToGrid w:val="0"/>
        <w:spacing w:before="60" w:after="60" w:line="300" w:lineRule="atLeast"/>
        <w:ind w:left="406" w:hanging="406"/>
        <w:rPr>
          <w:rFonts w:ascii="標楷體" w:eastAsia="標楷體" w:hAnsi="標楷體"/>
        </w:rPr>
      </w:pPr>
      <w:r>
        <w:rPr>
          <w:rFonts w:ascii="標楷體" w:eastAsia="標楷體" w:hAnsi="標楷體" w:hint="eastAsia"/>
        </w:rPr>
        <w:t>21</w:t>
      </w:r>
      <w:r>
        <w:rPr>
          <w:rFonts w:ascii="標楷體" w:eastAsia="標楷體" w:hAnsi="標楷體"/>
        </w:rPr>
        <w:t>.</w:t>
      </w:r>
      <w:r w:rsidRPr="00C32EEE">
        <w:rPr>
          <w:rFonts w:ascii="標楷體" w:eastAsia="標楷體" w:hAnsi="標楷體"/>
        </w:rPr>
        <w:t>在上升趨勢中，K線圖上出現高價跳空型態（High-price Gapping Play），即向上跳空缺口的陽線，表示行情可能：</w:t>
      </w:r>
    </w:p>
    <w:p w:rsidR="00C31787" w:rsidRPr="00BA653F"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(A)止漲回跌</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(B)繼續上漲</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(C)方向不明</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(D)繼續下跌</w:t>
      </w:r>
    </w:p>
    <w:p w:rsidR="00C31787" w:rsidRPr="00C32EEE" w:rsidRDefault="00C31787" w:rsidP="00C31787">
      <w:pPr>
        <w:snapToGrid w:val="0"/>
        <w:spacing w:before="60" w:after="60" w:line="300" w:lineRule="atLeast"/>
        <w:ind w:left="392" w:hanging="406"/>
        <w:rPr>
          <w:rFonts w:ascii="標楷體" w:eastAsia="標楷體" w:hAnsi="標楷體"/>
        </w:rPr>
      </w:pPr>
      <w:r>
        <w:rPr>
          <w:rFonts w:ascii="標楷體" w:eastAsia="標楷體" w:hAnsi="標楷體" w:hint="eastAsia"/>
        </w:rPr>
        <w:t>22</w:t>
      </w:r>
      <w:r>
        <w:rPr>
          <w:rFonts w:ascii="標楷體" w:eastAsia="標楷體" w:hAnsi="標楷體"/>
        </w:rPr>
        <w:t>.</w:t>
      </w:r>
      <w:r w:rsidRPr="00C32EEE">
        <w:rPr>
          <w:rFonts w:ascii="標楷體" w:eastAsia="標楷體" w:hAnsi="標楷體"/>
        </w:rPr>
        <w:t>公司的財務槓桿越小，</w:t>
      </w:r>
      <w:proofErr w:type="gramStart"/>
      <w:r w:rsidRPr="00C32EEE">
        <w:rPr>
          <w:rFonts w:ascii="標楷體" w:eastAsia="標楷體" w:hAnsi="標楷體"/>
        </w:rPr>
        <w:t>則貝它</w:t>
      </w:r>
      <w:proofErr w:type="gramEnd"/>
      <w:r w:rsidRPr="00C32EEE">
        <w:rPr>
          <w:rFonts w:ascii="標楷體" w:eastAsia="標楷體" w:hAnsi="標楷體"/>
        </w:rPr>
        <w:t>（Beta）係數會：</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(A)越大</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(B)越小</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(C)不變</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(D)無關</w:t>
      </w:r>
    </w:p>
    <w:p w:rsidR="00C31787" w:rsidRDefault="00C31787" w:rsidP="00C31787">
      <w:pPr>
        <w:snapToGrid w:val="0"/>
        <w:spacing w:before="60" w:after="60" w:line="300" w:lineRule="atLeast"/>
        <w:ind w:left="480" w:hanging="480"/>
        <w:rPr>
          <w:rFonts w:ascii="新細明體" w:hAnsi="新細明體"/>
        </w:rPr>
      </w:pPr>
      <w:r>
        <w:rPr>
          <w:rFonts w:ascii="標楷體" w:eastAsia="標楷體" w:hAnsi="標楷體"/>
        </w:rPr>
        <w:t>23.</w:t>
      </w:r>
      <w:r w:rsidRPr="00C32EEE">
        <w:rPr>
          <w:rFonts w:ascii="標楷體" w:eastAsia="標楷體" w:hAnsi="標楷體"/>
        </w:rPr>
        <w:t>何種資訊反映在證券價格的變動上是強式效率的資本市場所獨有的？</w:t>
      </w:r>
    </w:p>
    <w:p w:rsidR="00C31787" w:rsidRPr="00BA653F"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(A)所有技術面分析的資訊</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(B)過去與現在所有公告之財務資訊</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(C)未對外公開的內部資訊</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(D)選項(A)(B)(C)皆是</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rPr>
        <w:t>24.</w:t>
      </w:r>
      <w:r w:rsidRPr="00C32EEE">
        <w:rPr>
          <w:rFonts w:ascii="標楷體" w:eastAsia="標楷體" w:hAnsi="標楷體"/>
        </w:rPr>
        <w:t>就市場效率性而言，設置漲跌幅之限制：</w:t>
      </w:r>
    </w:p>
    <w:p w:rsidR="00C31787" w:rsidRPr="00BA653F"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(A)可能會延緩資訊反應在股價上之速度</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(B)對於股價反應資訊並無任何影響</w:t>
      </w:r>
    </w:p>
    <w:p w:rsidR="00C31787"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(C)是一個具有效率的市場必有的措施</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(D)是半強式效率市場之特質</w:t>
      </w:r>
    </w:p>
    <w:p w:rsidR="00E470BC" w:rsidRPr="00BA653F" w:rsidRDefault="00E470BC" w:rsidP="00C31787">
      <w:pPr>
        <w:snapToGrid w:val="0"/>
        <w:spacing w:before="20" w:after="20" w:line="280" w:lineRule="exact"/>
        <w:ind w:firstLine="392"/>
        <w:rPr>
          <w:rFonts w:ascii="標楷體" w:eastAsia="標楷體" w:hAnsi="標楷體" w:hint="eastAsia"/>
        </w:rPr>
      </w:pP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lastRenderedPageBreak/>
        <w:t>25</w:t>
      </w:r>
      <w:r>
        <w:rPr>
          <w:rFonts w:ascii="標楷體" w:eastAsia="標楷體" w:hAnsi="標楷體"/>
        </w:rPr>
        <w:t>.</w:t>
      </w:r>
      <w:r w:rsidRPr="00C32EEE">
        <w:rPr>
          <w:rFonts w:ascii="標楷體" w:eastAsia="標楷體" w:hAnsi="標楷體"/>
        </w:rPr>
        <w:t>股票評價可以利用下列何種方法？甲.本益比倍數還原法；乙.股價淨值比還原法；丙.股利</w:t>
      </w:r>
      <w:proofErr w:type="gramStart"/>
      <w:r w:rsidRPr="00C32EEE">
        <w:rPr>
          <w:rFonts w:ascii="標楷體" w:eastAsia="標楷體" w:hAnsi="標楷體"/>
        </w:rPr>
        <w:t>殖</w:t>
      </w:r>
      <w:proofErr w:type="gramEnd"/>
      <w:r w:rsidRPr="00C32EEE">
        <w:rPr>
          <w:rFonts w:ascii="標楷體" w:eastAsia="標楷體" w:hAnsi="標楷體"/>
        </w:rPr>
        <w:t>利率法</w:t>
      </w:r>
    </w:p>
    <w:p w:rsidR="00C31787" w:rsidRDefault="00C31787" w:rsidP="00C31787">
      <w:pPr>
        <w:snapToGrid w:val="0"/>
        <w:spacing w:before="20" w:after="20" w:line="280" w:lineRule="exact"/>
        <w:ind w:firstLine="378"/>
        <w:rPr>
          <w:rFonts w:ascii="標楷體" w:eastAsia="標楷體" w:hAnsi="標楷體" w:hint="eastAsia"/>
        </w:rPr>
      </w:pPr>
      <w:r w:rsidRPr="00BA653F">
        <w:rPr>
          <w:rFonts w:ascii="標楷體" w:eastAsia="標楷體" w:hAnsi="標楷體"/>
        </w:rPr>
        <w:t>(A)</w:t>
      </w:r>
      <w:proofErr w:type="gramStart"/>
      <w:r w:rsidRPr="00BA653F">
        <w:rPr>
          <w:rFonts w:ascii="標楷體" w:eastAsia="標楷體" w:hAnsi="標楷體"/>
        </w:rPr>
        <w:t>僅甲</w:t>
      </w:r>
      <w:proofErr w:type="gramEnd"/>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w:t>
      </w:r>
      <w:proofErr w:type="gramStart"/>
      <w:r w:rsidRPr="00BA653F">
        <w:rPr>
          <w:rFonts w:ascii="標楷體" w:eastAsia="標楷體" w:hAnsi="標楷體"/>
        </w:rPr>
        <w:t>僅甲</w:t>
      </w:r>
      <w:proofErr w:type="gramEnd"/>
      <w:r w:rsidRPr="00BA653F">
        <w:rPr>
          <w:rFonts w:ascii="標楷體" w:eastAsia="標楷體" w:hAnsi="標楷體"/>
        </w:rPr>
        <w:t>、乙</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(C)</w:t>
      </w:r>
      <w:proofErr w:type="gramStart"/>
      <w:r w:rsidRPr="00BA653F">
        <w:rPr>
          <w:rFonts w:ascii="標楷體" w:eastAsia="標楷體" w:hAnsi="標楷體"/>
        </w:rPr>
        <w:t>僅甲</w:t>
      </w:r>
      <w:proofErr w:type="gramEnd"/>
      <w:r w:rsidRPr="00BA653F">
        <w:rPr>
          <w:rFonts w:ascii="標楷體" w:eastAsia="標楷體" w:hAnsi="標楷體"/>
        </w:rPr>
        <w:t>、丙</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w:t>
      </w:r>
      <w:r w:rsidRPr="00E470BC">
        <w:rPr>
          <w:rFonts w:ascii="標楷體" w:eastAsia="標楷體" w:hAnsi="標楷體"/>
          <w:spacing w:val="-8"/>
        </w:rPr>
        <w:t>甲、乙</w:t>
      </w:r>
      <w:proofErr w:type="gramStart"/>
      <w:r w:rsidRPr="00E470BC">
        <w:rPr>
          <w:rFonts w:ascii="標楷體" w:eastAsia="標楷體" w:hAnsi="標楷體"/>
          <w:spacing w:val="-8"/>
        </w:rPr>
        <w:t>及丙皆</w:t>
      </w:r>
      <w:proofErr w:type="gramEnd"/>
      <w:r w:rsidRPr="00E470BC">
        <w:rPr>
          <w:rFonts w:ascii="標楷體" w:eastAsia="標楷體" w:hAnsi="標楷體"/>
          <w:spacing w:val="-8"/>
        </w:rPr>
        <w:t>可以</w:t>
      </w:r>
    </w:p>
    <w:p w:rsidR="00C31787" w:rsidRPr="008B4802" w:rsidRDefault="00C31787" w:rsidP="00C31787">
      <w:pPr>
        <w:snapToGrid w:val="0"/>
        <w:spacing w:before="60" w:after="60" w:line="300" w:lineRule="atLeast"/>
        <w:ind w:left="280" w:hanging="280"/>
        <w:rPr>
          <w:rFonts w:ascii="標楷體" w:eastAsia="標楷體" w:hAnsi="標楷體"/>
        </w:rPr>
      </w:pPr>
      <w:r>
        <w:rPr>
          <w:rFonts w:ascii="標楷體" w:eastAsia="標楷體" w:hAnsi="標楷體" w:hint="eastAsia"/>
        </w:rPr>
        <w:t>26.</w:t>
      </w:r>
      <w:r w:rsidRPr="008B4802">
        <w:rPr>
          <w:rFonts w:ascii="標楷體" w:eastAsia="標楷體" w:hAnsi="標楷體" w:hint="eastAsia"/>
        </w:rPr>
        <w:t>將某一金額以下的支出一律作為收益支出，是合乎：</w:t>
      </w:r>
    </w:p>
    <w:p w:rsidR="00C31787" w:rsidRPr="00BA653F" w:rsidRDefault="00C31787" w:rsidP="00C31787">
      <w:pPr>
        <w:ind w:firstLine="378"/>
      </w:pPr>
      <w:r w:rsidRPr="00BA653F">
        <w:rPr>
          <w:rFonts w:ascii="標楷體" w:eastAsia="標楷體" w:hAnsi="標楷體" w:hint="eastAsia"/>
        </w:rPr>
        <w:t>(A)重大性原則</w:t>
      </w:r>
      <w:r>
        <w:rPr>
          <w:rFonts w:hint="eastAsia"/>
        </w:rPr>
        <w:tab/>
      </w:r>
      <w:r>
        <w:rPr>
          <w:rFonts w:hint="eastAsia"/>
        </w:rPr>
        <w:tab/>
      </w:r>
      <w:r>
        <w:rPr>
          <w:rFonts w:hint="eastAsia"/>
        </w:rPr>
        <w:tab/>
      </w:r>
      <w:r w:rsidRPr="00BA653F">
        <w:rPr>
          <w:rFonts w:ascii="標楷體" w:eastAsia="標楷體" w:hAnsi="標楷體" w:hint="eastAsia"/>
        </w:rPr>
        <w:t>(B)一致性原則</w:t>
      </w:r>
      <w:r>
        <w:rPr>
          <w:rFonts w:ascii="標楷體" w:eastAsia="標楷體" w:hAnsi="標楷體" w:hint="eastAsia"/>
        </w:rPr>
        <w:tab/>
      </w:r>
      <w:r>
        <w:rPr>
          <w:rFonts w:ascii="標楷體" w:eastAsia="標楷體" w:hAnsi="標楷體" w:hint="eastAsia"/>
        </w:rPr>
        <w:tab/>
      </w:r>
      <w:r w:rsidRPr="00BA653F">
        <w:rPr>
          <w:rFonts w:ascii="標楷體" w:eastAsia="標楷體" w:hAnsi="標楷體" w:hint="eastAsia"/>
        </w:rPr>
        <w:t>(C)客觀原則</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hint="eastAsia"/>
        </w:rPr>
        <w:t>(D)成本原則</w:t>
      </w:r>
    </w:p>
    <w:p w:rsidR="00C31787" w:rsidRPr="008B4802" w:rsidRDefault="00C31787" w:rsidP="00C31787">
      <w:pPr>
        <w:snapToGrid w:val="0"/>
        <w:spacing w:before="60" w:after="60" w:line="300" w:lineRule="atLeast"/>
        <w:ind w:left="364" w:hanging="364"/>
        <w:rPr>
          <w:rFonts w:ascii="標楷體" w:eastAsia="標楷體" w:hAnsi="標楷體"/>
        </w:rPr>
      </w:pPr>
      <w:r>
        <w:rPr>
          <w:rFonts w:ascii="標楷體" w:eastAsia="標楷體" w:hAnsi="標楷體" w:hint="eastAsia"/>
        </w:rPr>
        <w:t>27</w:t>
      </w:r>
      <w:r>
        <w:rPr>
          <w:rFonts w:ascii="標楷體" w:eastAsia="標楷體" w:hAnsi="標楷體"/>
        </w:rPr>
        <w:t>.</w:t>
      </w:r>
      <w:r w:rsidRPr="008B4802">
        <w:rPr>
          <w:rFonts w:ascii="標楷體" w:eastAsia="標楷體" w:hAnsi="標楷體"/>
        </w:rPr>
        <w:t>東澳公司的存貨週轉天數為50天，應收帳款週轉天數為70天，應付帳款週轉天數為40天，</w:t>
      </w:r>
      <w:proofErr w:type="gramStart"/>
      <w:r w:rsidRPr="008B4802">
        <w:rPr>
          <w:rFonts w:ascii="標楷體" w:eastAsia="標楷體" w:hAnsi="標楷體"/>
        </w:rPr>
        <w:t>則東澳</w:t>
      </w:r>
      <w:proofErr w:type="gramEnd"/>
      <w:r w:rsidRPr="008B4802">
        <w:rPr>
          <w:rFonts w:ascii="標楷體" w:eastAsia="標楷體" w:hAnsi="標楷體"/>
        </w:rPr>
        <w:t>公司的淨營業循環為幾天？</w:t>
      </w:r>
    </w:p>
    <w:p w:rsidR="00C31787" w:rsidRPr="00BA653F"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(A)120天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(B)40天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(C)80天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(D)160天</w:t>
      </w:r>
    </w:p>
    <w:p w:rsidR="00C31787" w:rsidRDefault="00C31787" w:rsidP="00C31787">
      <w:pPr>
        <w:snapToGrid w:val="0"/>
        <w:spacing w:before="60" w:after="60" w:line="280" w:lineRule="exact"/>
        <w:ind w:left="900" w:hanging="900"/>
        <w:rPr>
          <w:rFonts w:ascii="新細明體" w:hAnsi="新細明體"/>
        </w:rPr>
      </w:pPr>
      <w:r>
        <w:rPr>
          <w:rFonts w:ascii="標楷體" w:eastAsia="標楷體" w:hAnsi="標楷體" w:hint="eastAsia"/>
        </w:rPr>
        <w:t>28</w:t>
      </w:r>
      <w:r>
        <w:rPr>
          <w:rFonts w:ascii="標楷體" w:eastAsia="標楷體" w:hAnsi="標楷體"/>
        </w:rPr>
        <w:t>.</w:t>
      </w:r>
      <w:r w:rsidRPr="008B4802">
        <w:rPr>
          <w:rFonts w:ascii="標楷體" w:eastAsia="標楷體" w:hAnsi="標楷體"/>
        </w:rPr>
        <w:t>和仁公司106年底盤點存貨時，並未將新城公司寄銷的商品列入盤點，則下列何者正確？</w:t>
      </w:r>
    </w:p>
    <w:p w:rsidR="00C31787" w:rsidRDefault="00C31787" w:rsidP="00C31787">
      <w:pPr>
        <w:snapToGrid w:val="0"/>
        <w:spacing w:before="20" w:after="20" w:line="280" w:lineRule="exact"/>
        <w:ind w:left="840" w:hanging="462"/>
        <w:rPr>
          <w:rFonts w:ascii="標楷體" w:eastAsia="標楷體" w:hAnsi="標楷體" w:hint="eastAsia"/>
        </w:rPr>
      </w:pPr>
      <w:r w:rsidRPr="00BA653F">
        <w:rPr>
          <w:rFonts w:ascii="標楷體" w:eastAsia="標楷體" w:hAnsi="標楷體"/>
        </w:rPr>
        <w:t>(A)銷貨成本將低估</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(B)進貨成本將低估</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BA653F" w:rsidRDefault="00C31787" w:rsidP="00C31787">
      <w:pPr>
        <w:snapToGrid w:val="0"/>
        <w:spacing w:before="20" w:after="20" w:line="280" w:lineRule="exact"/>
        <w:ind w:firstLine="392"/>
        <w:rPr>
          <w:rFonts w:ascii="標楷體" w:eastAsia="標楷體" w:hAnsi="標楷體"/>
        </w:rPr>
      </w:pPr>
      <w:r w:rsidRPr="00BA653F">
        <w:rPr>
          <w:rFonts w:ascii="標楷體" w:eastAsia="標楷體" w:hAnsi="標楷體"/>
        </w:rPr>
        <w:t>(C)銷貨毛利將低估</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(D)銷貨成本仍為正確</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29</w:t>
      </w:r>
      <w:r>
        <w:rPr>
          <w:rFonts w:ascii="標楷體" w:eastAsia="標楷體" w:hAnsi="標楷體"/>
        </w:rPr>
        <w:t>.</w:t>
      </w:r>
      <w:r w:rsidRPr="008B4802">
        <w:rPr>
          <w:rFonts w:ascii="標楷體" w:eastAsia="標楷體" w:hAnsi="標楷體"/>
        </w:rPr>
        <w:t>下列何者</w:t>
      </w:r>
      <w:proofErr w:type="gramStart"/>
      <w:r w:rsidRPr="008B4802">
        <w:rPr>
          <w:rFonts w:ascii="標楷體" w:eastAsia="標楷體" w:hAnsi="標楷體"/>
        </w:rPr>
        <w:t>對速動比率</w:t>
      </w:r>
      <w:proofErr w:type="gramEnd"/>
      <w:r w:rsidRPr="008B4802">
        <w:rPr>
          <w:rFonts w:ascii="標楷體" w:eastAsia="標楷體" w:hAnsi="標楷體"/>
        </w:rPr>
        <w:t>無任何影響？</w:t>
      </w:r>
    </w:p>
    <w:p w:rsidR="00C31787" w:rsidRPr="00BA653F"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(A)宣告現金股利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(B)支付前所宣告的現金股利</w:t>
      </w:r>
    </w:p>
    <w:p w:rsidR="00C31787" w:rsidRPr="004E016E" w:rsidRDefault="00C31787" w:rsidP="00C31787">
      <w:pPr>
        <w:snapToGrid w:val="0"/>
        <w:spacing w:before="20" w:after="20" w:line="280" w:lineRule="exact"/>
        <w:ind w:firstLine="378"/>
        <w:rPr>
          <w:rFonts w:ascii="標楷體" w:eastAsia="標楷體" w:hAnsi="標楷體"/>
        </w:rPr>
      </w:pPr>
      <w:r w:rsidRPr="00BA653F">
        <w:rPr>
          <w:rFonts w:ascii="標楷體" w:eastAsia="標楷體" w:hAnsi="標楷體"/>
        </w:rPr>
        <w:t>(C)沖銷壞帳</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(D)以成本價賒銷出售存貨</w:t>
      </w:r>
    </w:p>
    <w:p w:rsidR="00C31787" w:rsidRPr="008B4802" w:rsidRDefault="00C31787" w:rsidP="00C31787">
      <w:pPr>
        <w:snapToGrid w:val="0"/>
        <w:spacing w:before="60" w:after="60" w:line="300" w:lineRule="exact"/>
        <w:ind w:left="900" w:hanging="900"/>
        <w:rPr>
          <w:rFonts w:ascii="標楷體" w:eastAsia="標楷體" w:hAnsi="標楷體"/>
        </w:rPr>
      </w:pPr>
      <w:r>
        <w:rPr>
          <w:rFonts w:ascii="標楷體" w:eastAsia="標楷體" w:hAnsi="標楷體" w:hint="eastAsia"/>
        </w:rPr>
        <w:t>30</w:t>
      </w:r>
      <w:r>
        <w:rPr>
          <w:rFonts w:ascii="標楷體" w:eastAsia="標楷體" w:hAnsi="標楷體"/>
        </w:rPr>
        <w:t>.</w:t>
      </w:r>
      <w:r w:rsidRPr="008B4802">
        <w:rPr>
          <w:rFonts w:ascii="標楷體" w:eastAsia="標楷體" w:hAnsi="標楷體"/>
        </w:rPr>
        <w:t>計算由營業產生之營運資金</w:t>
      </w:r>
      <w:proofErr w:type="gramStart"/>
      <w:r w:rsidRPr="008B4802">
        <w:rPr>
          <w:rFonts w:ascii="標楷體" w:eastAsia="標楷體" w:hAnsi="標楷體"/>
        </w:rPr>
        <w:t>須加回本</w:t>
      </w:r>
      <w:proofErr w:type="gramEnd"/>
      <w:r w:rsidRPr="008B4802">
        <w:rPr>
          <w:rFonts w:ascii="標楷體" w:eastAsia="標楷體" w:hAnsi="標楷體"/>
        </w:rPr>
        <w:t>期之折舊金額，是因為：</w:t>
      </w:r>
    </w:p>
    <w:p w:rsidR="00C31787" w:rsidRPr="00BA653F" w:rsidRDefault="00C31787" w:rsidP="00C31787">
      <w:pPr>
        <w:snapToGrid w:val="0"/>
        <w:spacing w:before="20" w:after="20" w:line="300" w:lineRule="exact"/>
        <w:ind w:firstLine="378"/>
        <w:rPr>
          <w:rFonts w:ascii="標楷體" w:eastAsia="標楷體" w:hAnsi="標楷體"/>
        </w:rPr>
      </w:pPr>
      <w:r w:rsidRPr="00BA653F">
        <w:rPr>
          <w:rFonts w:ascii="標楷體" w:eastAsia="標楷體" w:hAnsi="標楷體"/>
        </w:rPr>
        <w:t>(A)折舊非為營業交易</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(B)減少本期多提列之折舊</w:t>
      </w:r>
    </w:p>
    <w:p w:rsidR="00C31787" w:rsidRPr="00BA653F" w:rsidRDefault="00C31787" w:rsidP="00C31787">
      <w:pPr>
        <w:snapToGrid w:val="0"/>
        <w:spacing w:before="20" w:after="20" w:line="300" w:lineRule="exact"/>
        <w:ind w:firstLine="378"/>
        <w:rPr>
          <w:rFonts w:ascii="標楷體" w:eastAsia="標楷體" w:hAnsi="標楷體"/>
        </w:rPr>
      </w:pPr>
      <w:r w:rsidRPr="00BA653F">
        <w:rPr>
          <w:rFonts w:ascii="標楷體" w:eastAsia="標楷體" w:hAnsi="標楷體"/>
        </w:rPr>
        <w:t>(C)折舊</w:t>
      </w:r>
      <w:proofErr w:type="gramStart"/>
      <w:r w:rsidRPr="00BA653F">
        <w:rPr>
          <w:rFonts w:ascii="標楷體" w:eastAsia="標楷體" w:hAnsi="標楷體"/>
        </w:rPr>
        <w:t>不</w:t>
      </w:r>
      <w:proofErr w:type="gramEnd"/>
      <w:r w:rsidRPr="00BA653F">
        <w:rPr>
          <w:rFonts w:ascii="標楷體" w:eastAsia="標楷體" w:hAnsi="標楷體"/>
        </w:rPr>
        <w:t>耗用營運資金</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(D)提列折舊可以少繳稅</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31</w:t>
      </w:r>
      <w:r>
        <w:rPr>
          <w:rFonts w:ascii="標楷體" w:eastAsia="標楷體" w:hAnsi="標楷體"/>
        </w:rPr>
        <w:t>.</w:t>
      </w:r>
      <w:r w:rsidRPr="008B4802">
        <w:rPr>
          <w:rFonts w:ascii="標楷體" w:eastAsia="標楷體" w:hAnsi="標楷體"/>
        </w:rPr>
        <w:t>老謝餐飲公司向銀行借款$5,000,000，並以廠房作擔保，這項交易將在現金流量表中列作：</w:t>
      </w:r>
    </w:p>
    <w:p w:rsidR="00C31787" w:rsidRPr="00BA653F" w:rsidRDefault="00C31787" w:rsidP="00C31787">
      <w:pPr>
        <w:snapToGrid w:val="0"/>
        <w:spacing w:before="20" w:after="20" w:line="300" w:lineRule="exact"/>
        <w:ind w:firstLine="392"/>
        <w:rPr>
          <w:rFonts w:ascii="標楷體" w:eastAsia="標楷體" w:hAnsi="標楷體"/>
        </w:rPr>
      </w:pPr>
      <w:r w:rsidRPr="00BA653F">
        <w:rPr>
          <w:rFonts w:ascii="標楷體" w:eastAsia="標楷體" w:hAnsi="標楷體"/>
        </w:rPr>
        <w:t>(A)來自營業活動之現金流量</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(B)來自投資活動之現金流量</w:t>
      </w:r>
    </w:p>
    <w:p w:rsidR="00C31787" w:rsidRPr="00BA653F" w:rsidRDefault="00C31787" w:rsidP="00C31787">
      <w:pPr>
        <w:snapToGrid w:val="0"/>
        <w:spacing w:before="20" w:after="20" w:line="300" w:lineRule="exact"/>
        <w:ind w:firstLine="378"/>
        <w:rPr>
          <w:rFonts w:ascii="標楷體" w:eastAsia="標楷體" w:hAnsi="標楷體"/>
        </w:rPr>
      </w:pPr>
      <w:r w:rsidRPr="00BA653F">
        <w:rPr>
          <w:rFonts w:ascii="標楷體" w:eastAsia="標楷體" w:hAnsi="標楷體"/>
        </w:rPr>
        <w:t>(C)來自籌資活動之現金流量</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(D)非現金之投資及籌資活動</w:t>
      </w:r>
    </w:p>
    <w:p w:rsidR="00C31787" w:rsidRDefault="00C31787" w:rsidP="00C31787">
      <w:pPr>
        <w:snapToGrid w:val="0"/>
        <w:spacing w:before="60" w:after="60" w:line="300" w:lineRule="exact"/>
        <w:ind w:left="426" w:hanging="426"/>
        <w:rPr>
          <w:rFonts w:ascii="新細明體" w:hAnsi="新細明體"/>
        </w:rPr>
      </w:pPr>
      <w:r>
        <w:rPr>
          <w:rFonts w:ascii="標楷體" w:eastAsia="標楷體" w:hAnsi="標楷體" w:hint="eastAsia"/>
        </w:rPr>
        <w:t>32</w:t>
      </w:r>
      <w:r>
        <w:rPr>
          <w:rFonts w:ascii="標楷體" w:eastAsia="標楷體" w:hAnsi="標楷體"/>
        </w:rPr>
        <w:t>.</w:t>
      </w:r>
      <w:r w:rsidRPr="008B4802">
        <w:rPr>
          <w:rFonts w:ascii="標楷體" w:eastAsia="標楷體" w:hAnsi="標楷體"/>
        </w:rPr>
        <w:t>富里公司股票已發行1,000,000股，原以每股120元價格出售，票面金額每股10元；</w:t>
      </w:r>
      <w:proofErr w:type="gramStart"/>
      <w:r w:rsidRPr="008B4802">
        <w:rPr>
          <w:rFonts w:ascii="標楷體" w:eastAsia="標楷體" w:hAnsi="標楷體"/>
        </w:rPr>
        <w:t>設今每股帳面</w:t>
      </w:r>
      <w:proofErr w:type="gramEnd"/>
      <w:r w:rsidRPr="008B4802">
        <w:rPr>
          <w:rFonts w:ascii="標楷體" w:eastAsia="標楷體" w:hAnsi="標楷體"/>
        </w:rPr>
        <w:t>價值100元，則資產負債表中股本金額為：</w:t>
      </w:r>
    </w:p>
    <w:p w:rsidR="00C31787" w:rsidRPr="00BA653F" w:rsidRDefault="00C31787" w:rsidP="00C31787">
      <w:pPr>
        <w:snapToGrid w:val="0"/>
        <w:spacing w:before="20" w:after="20" w:line="300" w:lineRule="exact"/>
        <w:ind w:firstLine="426"/>
        <w:rPr>
          <w:rFonts w:ascii="標楷體" w:eastAsia="標楷體" w:hAnsi="標楷體"/>
        </w:rPr>
      </w:pPr>
      <w:r w:rsidRPr="00BA653F">
        <w:rPr>
          <w:rFonts w:ascii="標楷體" w:eastAsia="標楷體" w:hAnsi="標楷體"/>
        </w:rPr>
        <w:t>(A)11,100,000</w:t>
      </w:r>
      <w:r>
        <w:rPr>
          <w:rFonts w:ascii="標楷體" w:eastAsia="標楷體" w:hAnsi="標楷體" w:hint="eastAsia"/>
        </w:rPr>
        <w:t>元</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(B)10,000,000</w:t>
      </w:r>
      <w:r>
        <w:rPr>
          <w:rFonts w:ascii="標楷體" w:eastAsia="標楷體" w:hAnsi="標楷體" w:hint="eastAsia"/>
        </w:rPr>
        <w:t>元</w:t>
      </w:r>
    </w:p>
    <w:p w:rsidR="00C31787" w:rsidRPr="00BA653F" w:rsidRDefault="00C31787" w:rsidP="00C31787">
      <w:pPr>
        <w:snapToGrid w:val="0"/>
        <w:spacing w:before="20" w:after="20" w:line="300" w:lineRule="exact"/>
        <w:ind w:firstLine="420"/>
        <w:rPr>
          <w:rFonts w:ascii="標楷體" w:eastAsia="標楷體" w:hAnsi="標楷體"/>
        </w:rPr>
      </w:pPr>
      <w:r w:rsidRPr="00BA653F">
        <w:rPr>
          <w:rFonts w:ascii="標楷體" w:eastAsia="標楷體" w:hAnsi="標楷體"/>
        </w:rPr>
        <w:t>(C)100,000,000</w:t>
      </w:r>
      <w:r>
        <w:rPr>
          <w:rFonts w:ascii="標楷體" w:eastAsia="標楷體" w:hAnsi="標楷體" w:hint="eastAsia"/>
        </w:rPr>
        <w:t>元</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(D)111,000,000</w:t>
      </w:r>
      <w:r>
        <w:rPr>
          <w:rFonts w:ascii="標楷體" w:eastAsia="標楷體" w:hAnsi="標楷體" w:hint="eastAsia"/>
        </w:rPr>
        <w:t>元</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33</w:t>
      </w:r>
      <w:r>
        <w:rPr>
          <w:rFonts w:ascii="標楷體" w:eastAsia="標楷體" w:hAnsi="標楷體"/>
        </w:rPr>
        <w:t>.</w:t>
      </w:r>
      <w:r w:rsidRPr="008B4802">
        <w:rPr>
          <w:rFonts w:ascii="標楷體" w:eastAsia="標楷體" w:hAnsi="標楷體"/>
        </w:rPr>
        <w:t>公司按公告現值調整土地之</w:t>
      </w:r>
      <w:proofErr w:type="gramStart"/>
      <w:r w:rsidRPr="008B4802">
        <w:rPr>
          <w:rFonts w:ascii="標楷體" w:eastAsia="標楷體" w:hAnsi="標楷體"/>
        </w:rPr>
        <w:t>帳面</w:t>
      </w:r>
      <w:proofErr w:type="gramEnd"/>
      <w:r w:rsidRPr="008B4802">
        <w:rPr>
          <w:rFonts w:ascii="標楷體" w:eastAsia="標楷體" w:hAnsi="標楷體"/>
        </w:rPr>
        <w:t>金額，並計提增值稅準備後，下列何敘述正確？</w:t>
      </w:r>
    </w:p>
    <w:p w:rsidR="00C31787" w:rsidRDefault="00C31787" w:rsidP="00C31787">
      <w:pPr>
        <w:snapToGrid w:val="0"/>
        <w:spacing w:before="20" w:after="20" w:line="300" w:lineRule="exact"/>
        <w:ind w:left="840" w:hanging="462"/>
        <w:rPr>
          <w:rFonts w:ascii="標楷體" w:eastAsia="標楷體" w:hAnsi="標楷體" w:hint="eastAsia"/>
        </w:rPr>
      </w:pPr>
      <w:r w:rsidRPr="00BA653F">
        <w:rPr>
          <w:rFonts w:ascii="標楷體" w:eastAsia="標楷體" w:hAnsi="標楷體"/>
        </w:rPr>
        <w:t>(A)資產增加</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(B)負債增加</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BA653F" w:rsidRDefault="00C31787" w:rsidP="00C31787">
      <w:pPr>
        <w:snapToGrid w:val="0"/>
        <w:spacing w:before="20" w:after="20" w:line="300" w:lineRule="exact"/>
        <w:ind w:firstLine="378"/>
        <w:rPr>
          <w:rFonts w:ascii="標楷體" w:eastAsia="標楷體" w:hAnsi="標楷體"/>
        </w:rPr>
      </w:pPr>
      <w:r w:rsidRPr="00BA653F">
        <w:rPr>
          <w:rFonts w:ascii="標楷體" w:eastAsia="標楷體" w:hAnsi="標楷體"/>
        </w:rPr>
        <w:t>(C)權益增加</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(D)選項(A)(B)(C)皆是</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34.</w:t>
      </w:r>
      <w:r w:rsidRPr="00C32EEE">
        <w:rPr>
          <w:rFonts w:ascii="標楷體" w:eastAsia="標楷體" w:hAnsi="標楷體" w:hint="eastAsia"/>
        </w:rPr>
        <w:t>下列各項何者不應包含於不動產、廠房及設備之取得成本？</w:t>
      </w:r>
    </w:p>
    <w:p w:rsidR="00C31787" w:rsidRPr="00BA653F" w:rsidRDefault="00C31787" w:rsidP="00C31787">
      <w:pPr>
        <w:snapToGrid w:val="0"/>
        <w:spacing w:before="20" w:after="20" w:line="300" w:lineRule="exact"/>
        <w:ind w:firstLine="392"/>
        <w:rPr>
          <w:rFonts w:ascii="標楷體" w:eastAsia="標楷體" w:hAnsi="標楷體"/>
        </w:rPr>
      </w:pPr>
      <w:r w:rsidRPr="00BA653F">
        <w:rPr>
          <w:rFonts w:ascii="標楷體" w:eastAsia="標楷體" w:hAnsi="標楷體" w:hint="eastAsia"/>
        </w:rPr>
        <w:t>(A)安裝費</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hint="eastAsia"/>
        </w:rPr>
        <w:t>(B)過戶之手續費</w:t>
      </w:r>
    </w:p>
    <w:p w:rsidR="00C31787" w:rsidRPr="00BA653F" w:rsidRDefault="00C31787" w:rsidP="00C31787">
      <w:pPr>
        <w:snapToGrid w:val="0"/>
        <w:spacing w:before="20" w:after="20" w:line="300" w:lineRule="exact"/>
        <w:ind w:firstLine="378"/>
        <w:rPr>
          <w:rFonts w:ascii="標楷體" w:eastAsia="標楷體" w:hAnsi="標楷體"/>
        </w:rPr>
      </w:pPr>
      <w:r w:rsidRPr="00BA653F">
        <w:rPr>
          <w:rFonts w:ascii="標楷體" w:eastAsia="標楷體" w:hAnsi="標楷體" w:hint="eastAsia"/>
        </w:rPr>
        <w:t>(C)延遲付款之利息</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hint="eastAsia"/>
        </w:rPr>
        <w:t>(D)運費</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35</w:t>
      </w:r>
      <w:r>
        <w:rPr>
          <w:rFonts w:ascii="標楷體" w:eastAsia="標楷體" w:hAnsi="標楷體"/>
        </w:rPr>
        <w:t>.</w:t>
      </w:r>
      <w:r w:rsidRPr="00C32EEE">
        <w:rPr>
          <w:rFonts w:ascii="標楷體" w:eastAsia="標楷體" w:hAnsi="標楷體"/>
        </w:rPr>
        <w:t>下列哪一事項可能會導致資本公積之金額變動？</w:t>
      </w:r>
    </w:p>
    <w:p w:rsidR="00C31787" w:rsidRPr="00BA653F" w:rsidRDefault="00C31787" w:rsidP="00C31787">
      <w:pPr>
        <w:snapToGrid w:val="0"/>
        <w:spacing w:before="20" w:after="20" w:line="300" w:lineRule="exact"/>
        <w:ind w:firstLine="378"/>
        <w:rPr>
          <w:rFonts w:ascii="標楷體" w:eastAsia="標楷體" w:hAnsi="標楷體"/>
        </w:rPr>
      </w:pPr>
      <w:r w:rsidRPr="00BA653F">
        <w:rPr>
          <w:rFonts w:ascii="標楷體" w:eastAsia="標楷體" w:hAnsi="標楷體"/>
        </w:rPr>
        <w:t>(A)發放現金股利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(B)前期損益調整</w:t>
      </w:r>
    </w:p>
    <w:p w:rsidR="00C31787" w:rsidRPr="00BA653F" w:rsidRDefault="00C31787" w:rsidP="00C31787">
      <w:pPr>
        <w:snapToGrid w:val="0"/>
        <w:spacing w:before="20" w:after="20" w:line="300" w:lineRule="exact"/>
        <w:ind w:firstLine="392"/>
        <w:rPr>
          <w:rFonts w:ascii="標楷體" w:eastAsia="標楷體" w:hAnsi="標楷體"/>
        </w:rPr>
      </w:pPr>
      <w:r w:rsidRPr="00BA653F">
        <w:rPr>
          <w:rFonts w:ascii="標楷體" w:eastAsia="標楷體" w:hAnsi="標楷體"/>
        </w:rPr>
        <w:t>(C)</w:t>
      </w:r>
      <w:proofErr w:type="gramStart"/>
      <w:r w:rsidRPr="00BA653F">
        <w:rPr>
          <w:rFonts w:ascii="標楷體" w:eastAsia="標楷體" w:hAnsi="標楷體"/>
        </w:rPr>
        <w:t>提撥</w:t>
      </w:r>
      <w:proofErr w:type="gramEnd"/>
      <w:r w:rsidRPr="00BA653F">
        <w:rPr>
          <w:rFonts w:ascii="標楷體" w:eastAsia="標楷體" w:hAnsi="標楷體"/>
        </w:rPr>
        <w:t>法定盈餘公積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BA653F">
        <w:rPr>
          <w:rFonts w:ascii="標楷體" w:eastAsia="標楷體" w:hAnsi="標楷體"/>
        </w:rPr>
        <w:t>(D)庫藏股票交易</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36</w:t>
      </w:r>
      <w:r>
        <w:rPr>
          <w:rFonts w:ascii="標楷體" w:eastAsia="標楷體" w:hAnsi="標楷體"/>
        </w:rPr>
        <w:t>.</w:t>
      </w:r>
      <w:r w:rsidRPr="00C32EEE">
        <w:rPr>
          <w:rFonts w:ascii="標楷體" w:eastAsia="標楷體" w:hAnsi="標楷體"/>
        </w:rPr>
        <w:t>企業之長期償債能力與下列何者較無關？</w:t>
      </w:r>
    </w:p>
    <w:p w:rsidR="00C31787" w:rsidRPr="00427285" w:rsidRDefault="00C31787" w:rsidP="00C31787">
      <w:pPr>
        <w:snapToGrid w:val="0"/>
        <w:spacing w:before="20" w:after="20" w:line="300" w:lineRule="exact"/>
        <w:ind w:firstLine="392"/>
        <w:rPr>
          <w:rFonts w:ascii="標楷體" w:eastAsia="標楷體" w:hAnsi="標楷體"/>
        </w:rPr>
      </w:pPr>
      <w:r w:rsidRPr="00427285">
        <w:rPr>
          <w:rFonts w:ascii="標楷體" w:eastAsia="標楷體" w:hAnsi="標楷體"/>
        </w:rPr>
        <w:t>(A)獲利能力</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(B)利息保障倍數</w:t>
      </w:r>
    </w:p>
    <w:p w:rsidR="00C31787" w:rsidRPr="00427285" w:rsidRDefault="00C31787" w:rsidP="00C31787">
      <w:pPr>
        <w:snapToGrid w:val="0"/>
        <w:spacing w:before="20" w:after="20" w:line="300" w:lineRule="exact"/>
        <w:ind w:firstLine="406"/>
        <w:rPr>
          <w:rFonts w:ascii="標楷體" w:eastAsia="標楷體" w:hAnsi="標楷體"/>
        </w:rPr>
      </w:pPr>
      <w:r w:rsidRPr="00427285">
        <w:rPr>
          <w:rFonts w:ascii="標楷體" w:eastAsia="標楷體" w:hAnsi="標楷體"/>
        </w:rPr>
        <w:t>(C)資本結構</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(D)不動產、廠房及設備週轉率</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37</w:t>
      </w:r>
      <w:r>
        <w:rPr>
          <w:rFonts w:ascii="標楷體" w:eastAsia="標楷體" w:hAnsi="標楷體"/>
        </w:rPr>
        <w:t>.</w:t>
      </w:r>
      <w:r w:rsidRPr="00C32EEE">
        <w:rPr>
          <w:rFonts w:ascii="標楷體" w:eastAsia="標楷體" w:hAnsi="標楷體"/>
        </w:rPr>
        <w:t>某公司的淨利率為0.4，總資產週轉率為2，平均資產總額／平均權益比為3，則總資產報酬率為？</w:t>
      </w:r>
    </w:p>
    <w:p w:rsidR="00E470BC" w:rsidRDefault="00C31787" w:rsidP="00C31787">
      <w:pPr>
        <w:snapToGrid w:val="0"/>
        <w:spacing w:before="20" w:after="20" w:line="280" w:lineRule="exact"/>
        <w:ind w:firstLine="406"/>
        <w:rPr>
          <w:rFonts w:ascii="標楷體" w:eastAsia="標楷體" w:hAnsi="標楷體"/>
        </w:rPr>
      </w:pPr>
      <w:r w:rsidRPr="00427285">
        <w:rPr>
          <w:rFonts w:ascii="標楷體" w:eastAsia="標楷體" w:hAnsi="標楷體"/>
        </w:rPr>
        <w:t>(A</w:t>
      </w:r>
      <w:proofErr w:type="gramStart"/>
      <w:r w:rsidRPr="00427285">
        <w:rPr>
          <w:rFonts w:ascii="標楷體" w:eastAsia="標楷體" w:hAnsi="標楷體"/>
        </w:rPr>
        <w:t>)80</w:t>
      </w:r>
      <w:proofErr w:type="gramEnd"/>
      <w:r w:rsidRPr="00427285">
        <w:rPr>
          <w:rFonts w:ascii="標楷體" w:eastAsia="標楷體" w:hAnsi="標楷體"/>
        </w:rPr>
        <w:t>%</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Pr="00427285">
        <w:rPr>
          <w:rFonts w:ascii="標楷體" w:eastAsia="標楷體" w:hAnsi="標楷體"/>
        </w:rPr>
        <w:t>(B)40%</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427285" w:rsidRDefault="00C31787" w:rsidP="00C31787">
      <w:pPr>
        <w:snapToGrid w:val="0"/>
        <w:spacing w:before="20" w:after="20" w:line="280" w:lineRule="exact"/>
        <w:ind w:firstLine="406"/>
        <w:rPr>
          <w:rFonts w:ascii="標楷體" w:eastAsia="標楷體" w:hAnsi="標楷體"/>
        </w:rPr>
      </w:pPr>
      <w:r w:rsidRPr="00427285">
        <w:rPr>
          <w:rFonts w:ascii="標楷體" w:eastAsia="標楷體" w:hAnsi="標楷體"/>
        </w:rPr>
        <w:t>(C)60%</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Pr="00427285">
        <w:rPr>
          <w:rFonts w:ascii="標楷體" w:eastAsia="標楷體" w:hAnsi="標楷體"/>
        </w:rPr>
        <w:t>(D)選項(A)(B)(C)皆非</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38</w:t>
      </w:r>
      <w:r>
        <w:rPr>
          <w:rFonts w:ascii="標楷體" w:eastAsia="標楷體" w:hAnsi="標楷體"/>
        </w:rPr>
        <w:t>.</w:t>
      </w:r>
      <w:r w:rsidRPr="00C32EEE">
        <w:rPr>
          <w:rFonts w:ascii="標楷體" w:eastAsia="標楷體" w:hAnsi="標楷體"/>
        </w:rPr>
        <w:t>發放股票股利及股票分割後，下列敘述何者錯誤？</w:t>
      </w:r>
    </w:p>
    <w:p w:rsidR="00C31787" w:rsidRPr="00427285" w:rsidRDefault="00C31787" w:rsidP="00C31787">
      <w:pPr>
        <w:snapToGrid w:val="0"/>
        <w:spacing w:before="20" w:after="20" w:line="280" w:lineRule="exact"/>
        <w:ind w:firstLine="406"/>
        <w:rPr>
          <w:rFonts w:ascii="標楷體" w:eastAsia="標楷體" w:hAnsi="標楷體"/>
        </w:rPr>
      </w:pPr>
      <w:r w:rsidRPr="00427285">
        <w:rPr>
          <w:rFonts w:ascii="標楷體" w:eastAsia="標楷體" w:hAnsi="標楷體"/>
        </w:rPr>
        <w:t>(A)股票分割的目的是為了便於流通</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(B)股票股利不改變股票面額</w:t>
      </w:r>
    </w:p>
    <w:p w:rsidR="00C31787" w:rsidRDefault="00C31787" w:rsidP="00C31787">
      <w:pPr>
        <w:snapToGrid w:val="0"/>
        <w:spacing w:before="20" w:after="20" w:line="280" w:lineRule="exact"/>
        <w:ind w:firstLine="406"/>
        <w:rPr>
          <w:rFonts w:ascii="標楷體" w:eastAsia="標楷體" w:hAnsi="標楷體"/>
        </w:rPr>
      </w:pPr>
      <w:r w:rsidRPr="00427285">
        <w:rPr>
          <w:rFonts w:ascii="標楷體" w:eastAsia="標楷體" w:hAnsi="標楷體"/>
        </w:rPr>
        <w:t>(C)股票股利使得股本增加</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(D)股票股利與股票分割皆不用作分錄</w:t>
      </w:r>
    </w:p>
    <w:p w:rsidR="00E470BC" w:rsidRPr="00427285" w:rsidRDefault="00E470BC" w:rsidP="00C31787">
      <w:pPr>
        <w:snapToGrid w:val="0"/>
        <w:spacing w:before="20" w:after="20" w:line="280" w:lineRule="exact"/>
        <w:ind w:firstLine="406"/>
        <w:rPr>
          <w:rFonts w:ascii="標楷體" w:eastAsia="標楷體" w:hAnsi="標楷體" w:hint="eastAsia"/>
        </w:rPr>
      </w:pP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lastRenderedPageBreak/>
        <w:t>39</w:t>
      </w:r>
      <w:r>
        <w:rPr>
          <w:rFonts w:ascii="標楷體" w:eastAsia="標楷體" w:hAnsi="標楷體"/>
        </w:rPr>
        <w:t>.</w:t>
      </w:r>
      <w:r w:rsidRPr="00C32EEE">
        <w:rPr>
          <w:rFonts w:ascii="標楷體" w:eastAsia="標楷體" w:hAnsi="標楷體"/>
        </w:rPr>
        <w:t>已</w:t>
      </w:r>
      <w:proofErr w:type="gramStart"/>
      <w:r w:rsidRPr="00C32EEE">
        <w:rPr>
          <w:rFonts w:ascii="標楷體" w:eastAsia="標楷體" w:hAnsi="標楷體"/>
        </w:rPr>
        <w:t>知曉臣</w:t>
      </w:r>
      <w:proofErr w:type="gramEnd"/>
      <w:r w:rsidRPr="00C32EEE">
        <w:rPr>
          <w:rFonts w:ascii="標楷體" w:eastAsia="標楷體" w:hAnsi="標楷體"/>
        </w:rPr>
        <w:t>公司股價每股$52，每</w:t>
      </w:r>
      <w:proofErr w:type="gramStart"/>
      <w:r w:rsidRPr="00C32EEE">
        <w:rPr>
          <w:rFonts w:ascii="標楷體" w:eastAsia="標楷體" w:hAnsi="標楷體"/>
        </w:rPr>
        <w:t>股</w:t>
      </w:r>
      <w:proofErr w:type="gramEnd"/>
      <w:r w:rsidRPr="00C32EEE">
        <w:rPr>
          <w:rFonts w:ascii="標楷體" w:eastAsia="標楷體" w:hAnsi="標楷體"/>
        </w:rPr>
        <w:t>股利$2，每股</w:t>
      </w:r>
      <w:proofErr w:type="gramStart"/>
      <w:r w:rsidRPr="00C32EEE">
        <w:rPr>
          <w:rFonts w:ascii="標楷體" w:eastAsia="標楷體" w:hAnsi="標楷體"/>
        </w:rPr>
        <w:t>帳面</w:t>
      </w:r>
      <w:proofErr w:type="gramEnd"/>
      <w:r w:rsidRPr="00C32EEE">
        <w:rPr>
          <w:rFonts w:ascii="標楷體" w:eastAsia="標楷體" w:hAnsi="標楷體"/>
        </w:rPr>
        <w:t>金額$46，每股盈餘$4，</w:t>
      </w:r>
      <w:proofErr w:type="gramStart"/>
      <w:r w:rsidRPr="00C32EEE">
        <w:rPr>
          <w:rFonts w:ascii="標楷體" w:eastAsia="標楷體" w:hAnsi="標楷體"/>
        </w:rPr>
        <w:t>請問曉臣公司</w:t>
      </w:r>
      <w:proofErr w:type="gramEnd"/>
      <w:r w:rsidRPr="00C32EEE">
        <w:rPr>
          <w:rFonts w:ascii="標楷體" w:eastAsia="標楷體" w:hAnsi="標楷體"/>
        </w:rPr>
        <w:t>的本益比為？</w:t>
      </w:r>
    </w:p>
    <w:p w:rsidR="00C31787" w:rsidRDefault="00C31787" w:rsidP="00C31787">
      <w:pPr>
        <w:snapToGrid w:val="0"/>
        <w:spacing w:before="20" w:after="20" w:line="280" w:lineRule="exact"/>
        <w:ind w:firstLineChars="175" w:firstLine="420"/>
        <w:rPr>
          <w:rFonts w:ascii="標楷體" w:eastAsia="標楷體" w:hAnsi="標楷體" w:hint="eastAsia"/>
        </w:rPr>
      </w:pPr>
      <w:r w:rsidRPr="00427285">
        <w:rPr>
          <w:rFonts w:ascii="標楷體" w:eastAsia="標楷體" w:hAnsi="標楷體"/>
        </w:rPr>
        <w:t>(A)12倍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(B)16倍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(C)8倍</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(D)13倍</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40.</w:t>
      </w:r>
      <w:r w:rsidRPr="00C32EEE">
        <w:rPr>
          <w:rFonts w:ascii="標楷體" w:eastAsia="標楷體" w:hAnsi="標楷體" w:hint="eastAsia"/>
        </w:rPr>
        <w:t>企業提供期中財務報表主要在滿足下列何種目標？</w:t>
      </w:r>
    </w:p>
    <w:p w:rsidR="00C31787" w:rsidRPr="00427285" w:rsidRDefault="00C31787" w:rsidP="00C31787">
      <w:pPr>
        <w:tabs>
          <w:tab w:val="left" w:pos="420"/>
        </w:tabs>
        <w:rPr>
          <w:rFonts w:ascii="標楷體" w:eastAsia="標楷體" w:hAnsi="標楷體"/>
        </w:rPr>
      </w:pPr>
      <w:r>
        <w:rPr>
          <w:rFonts w:hint="eastAsia"/>
        </w:rPr>
        <w:tab/>
      </w:r>
      <w:r w:rsidRPr="00427285">
        <w:rPr>
          <w:rFonts w:ascii="標楷體" w:eastAsia="標楷體" w:hAnsi="標楷體" w:hint="eastAsia"/>
        </w:rPr>
        <w:t>(A)提供</w:t>
      </w:r>
      <w:proofErr w:type="gramStart"/>
      <w:r w:rsidRPr="00427285">
        <w:rPr>
          <w:rFonts w:ascii="標楷體" w:eastAsia="標楷體" w:hAnsi="標楷體" w:hint="eastAsia"/>
        </w:rPr>
        <w:t>攸</w:t>
      </w:r>
      <w:proofErr w:type="gramEnd"/>
      <w:r w:rsidRPr="00427285">
        <w:rPr>
          <w:rFonts w:ascii="標楷體" w:eastAsia="標楷體" w:hAnsi="標楷體" w:hint="eastAsia"/>
        </w:rPr>
        <w:t>關的資訊</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hint="eastAsia"/>
        </w:rPr>
        <w:t>(B)提供可供比較的資訊</w:t>
      </w:r>
    </w:p>
    <w:p w:rsidR="00C31787" w:rsidRPr="00427285" w:rsidRDefault="00C31787" w:rsidP="00C31787">
      <w:pPr>
        <w:tabs>
          <w:tab w:val="left" w:pos="434"/>
        </w:tabs>
        <w:rPr>
          <w:rFonts w:ascii="標楷體" w:eastAsia="標楷體" w:hAnsi="標楷體"/>
        </w:rPr>
      </w:pPr>
      <w:r w:rsidRPr="00427285">
        <w:rPr>
          <w:rFonts w:ascii="標楷體" w:eastAsia="標楷體" w:hAnsi="標楷體" w:hint="eastAsia"/>
        </w:rPr>
        <w:tab/>
        <w:t>(C)提供可靠的資訊</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hint="eastAsia"/>
        </w:rPr>
        <w:t>(D)提供及時的資訊</w:t>
      </w:r>
    </w:p>
    <w:p w:rsidR="00C31787" w:rsidRPr="00C32EEE"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41.</w:t>
      </w:r>
      <w:proofErr w:type="gramStart"/>
      <w:r w:rsidRPr="00C32EEE">
        <w:rPr>
          <w:rFonts w:ascii="標楷體" w:eastAsia="標楷體" w:hAnsi="標楷體" w:hint="eastAsia"/>
        </w:rPr>
        <w:t>一</w:t>
      </w:r>
      <w:proofErr w:type="gramEnd"/>
      <w:r w:rsidRPr="00C32EEE">
        <w:rPr>
          <w:rFonts w:ascii="標楷體" w:eastAsia="標楷體" w:hAnsi="標楷體" w:hint="eastAsia"/>
        </w:rPr>
        <w:t>公司在選擇會計方法時，會受到下列那些因素之影響？</w:t>
      </w:r>
    </w:p>
    <w:p w:rsidR="00C31787" w:rsidRPr="00427285" w:rsidRDefault="00C31787" w:rsidP="00C31787">
      <w:pPr>
        <w:ind w:firstLine="406"/>
        <w:rPr>
          <w:rFonts w:ascii="標楷體" w:eastAsia="標楷體" w:hAnsi="標楷體"/>
        </w:rPr>
      </w:pPr>
      <w:r w:rsidRPr="00427285">
        <w:rPr>
          <w:rFonts w:ascii="標楷體" w:eastAsia="標楷體" w:hAnsi="標楷體" w:hint="eastAsia"/>
        </w:rPr>
        <w:t>(A)公司</w:t>
      </w:r>
      <w:proofErr w:type="gramStart"/>
      <w:r w:rsidRPr="00427285">
        <w:rPr>
          <w:rFonts w:ascii="標楷體" w:eastAsia="標楷體" w:hAnsi="標楷體" w:hint="eastAsia"/>
        </w:rPr>
        <w:t>的獎酬計畫</w:t>
      </w:r>
      <w:proofErr w:type="gramEnd"/>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hint="eastAsia"/>
        </w:rPr>
        <w:t>(B)股票市場的反應</w:t>
      </w:r>
    </w:p>
    <w:p w:rsidR="00C31787" w:rsidRPr="00427285" w:rsidRDefault="00C31787" w:rsidP="00C31787">
      <w:pPr>
        <w:ind w:firstLine="392"/>
        <w:rPr>
          <w:rFonts w:ascii="標楷體" w:eastAsia="標楷體" w:hAnsi="標楷體"/>
        </w:rPr>
      </w:pPr>
      <w:r w:rsidRPr="00427285">
        <w:rPr>
          <w:rFonts w:ascii="標楷體" w:eastAsia="標楷體" w:hAnsi="標楷體" w:hint="eastAsia"/>
        </w:rPr>
        <w:t>(C)公司的債務契約</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hint="eastAsia"/>
        </w:rPr>
        <w:t>(D)選項(A)(B)(C)皆是</w:t>
      </w:r>
    </w:p>
    <w:p w:rsidR="00C31787" w:rsidRPr="008B4802" w:rsidRDefault="00C31787" w:rsidP="00C31787">
      <w:pPr>
        <w:snapToGrid w:val="0"/>
        <w:spacing w:before="60" w:after="60" w:line="300" w:lineRule="atLeast"/>
        <w:ind w:left="378" w:hanging="378"/>
        <w:rPr>
          <w:rFonts w:ascii="標楷體" w:eastAsia="標楷體" w:hAnsi="標楷體"/>
        </w:rPr>
      </w:pPr>
      <w:r>
        <w:rPr>
          <w:rFonts w:ascii="標楷體" w:eastAsia="標楷體" w:hAnsi="標楷體" w:hint="eastAsia"/>
        </w:rPr>
        <w:t>42.</w:t>
      </w:r>
      <w:r w:rsidRPr="00C32EEE">
        <w:rPr>
          <w:rFonts w:ascii="標楷體" w:eastAsia="標楷體" w:hAnsi="標楷體" w:hint="eastAsia"/>
        </w:rPr>
        <w:t>假如羅東公司存貨實際流動的情況是舊的存貨先售出，則此公司財務報告中所選擇的成本流動</w:t>
      </w:r>
      <w:r w:rsidRPr="008B4802">
        <w:rPr>
          <w:rFonts w:ascii="標楷體" w:eastAsia="標楷體" w:hAnsi="標楷體" w:hint="eastAsia"/>
        </w:rPr>
        <w:t>假設必須為：</w:t>
      </w:r>
    </w:p>
    <w:p w:rsidR="00C31787" w:rsidRDefault="00C31787" w:rsidP="00C31787">
      <w:pPr>
        <w:tabs>
          <w:tab w:val="left" w:pos="378"/>
        </w:tabs>
        <w:rPr>
          <w:rFonts w:ascii="標楷體" w:eastAsia="標楷體" w:hAnsi="標楷體" w:hint="eastAsia"/>
        </w:rPr>
      </w:pPr>
      <w:r>
        <w:rPr>
          <w:rFonts w:hint="eastAsia"/>
        </w:rPr>
        <w:tab/>
      </w:r>
      <w:r w:rsidRPr="00427285">
        <w:rPr>
          <w:rFonts w:ascii="標楷體" w:eastAsia="標楷體" w:hAnsi="標楷體" w:hint="eastAsia"/>
        </w:rPr>
        <w:t>(A)先進</w:t>
      </w:r>
      <w:proofErr w:type="gramStart"/>
      <w:r w:rsidRPr="00427285">
        <w:rPr>
          <w:rFonts w:ascii="標楷體" w:eastAsia="標楷體" w:hAnsi="標楷體" w:hint="eastAsia"/>
        </w:rPr>
        <w:t>先出法</w:t>
      </w:r>
      <w:proofErr w:type="gramEnd"/>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hint="eastAsia"/>
        </w:rPr>
        <w:t>(B)移動平均法</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427285" w:rsidRDefault="00C31787" w:rsidP="00C31787">
      <w:pPr>
        <w:tabs>
          <w:tab w:val="left" w:pos="378"/>
        </w:tabs>
        <w:rPr>
          <w:rFonts w:ascii="標楷體" w:eastAsia="標楷體" w:hAnsi="標楷體"/>
        </w:rPr>
      </w:pPr>
      <w:r>
        <w:rPr>
          <w:rFonts w:ascii="標楷體" w:eastAsia="標楷體" w:hAnsi="標楷體" w:hint="eastAsia"/>
        </w:rPr>
        <w:tab/>
      </w:r>
      <w:r w:rsidRPr="00427285">
        <w:rPr>
          <w:rFonts w:ascii="標楷體" w:eastAsia="標楷體" w:hAnsi="標楷體" w:hint="eastAsia"/>
        </w:rPr>
        <w:t>(C)加權平均法</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hint="eastAsia"/>
        </w:rPr>
        <w:t>(D)可選擇任何一種成本流動假設</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43</w:t>
      </w:r>
      <w:r>
        <w:rPr>
          <w:rFonts w:ascii="標楷體" w:eastAsia="標楷體" w:hAnsi="標楷體"/>
        </w:rPr>
        <w:t>.</w:t>
      </w:r>
      <w:r w:rsidRPr="008B4802">
        <w:rPr>
          <w:rFonts w:ascii="標楷體" w:eastAsia="標楷體" w:hAnsi="標楷體"/>
        </w:rPr>
        <w:t>下列何種行業的存貨評價方式較適合採用個別認定法？</w:t>
      </w:r>
    </w:p>
    <w:p w:rsidR="00C31787" w:rsidRPr="00427285" w:rsidRDefault="00C31787" w:rsidP="00C31787">
      <w:pPr>
        <w:snapToGrid w:val="0"/>
        <w:spacing w:before="20" w:after="20" w:line="280" w:lineRule="exact"/>
        <w:ind w:firstLine="378"/>
        <w:rPr>
          <w:rFonts w:ascii="標楷體" w:eastAsia="標楷體" w:hAnsi="標楷體"/>
        </w:rPr>
      </w:pPr>
      <w:r w:rsidRPr="00427285">
        <w:rPr>
          <w:rFonts w:ascii="標楷體" w:eastAsia="標楷體" w:hAnsi="標楷體"/>
        </w:rPr>
        <w:t>(A)電腦公司</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(B)食品公司</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(C)汽車經銷商</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(D)鋼鐵公司</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44</w:t>
      </w:r>
      <w:r>
        <w:rPr>
          <w:rFonts w:ascii="標楷體" w:eastAsia="標楷體" w:hAnsi="標楷體"/>
        </w:rPr>
        <w:t>.</w:t>
      </w:r>
      <w:r w:rsidRPr="008B4802">
        <w:rPr>
          <w:rFonts w:ascii="標楷體" w:eastAsia="標楷體" w:hAnsi="標楷體"/>
        </w:rPr>
        <w:t>編製現金流量表時，公司通常不需要下列哪一種資訊？</w:t>
      </w:r>
    </w:p>
    <w:p w:rsidR="00C31787" w:rsidRPr="00427285" w:rsidRDefault="00C31787" w:rsidP="00C31787">
      <w:pPr>
        <w:snapToGrid w:val="0"/>
        <w:spacing w:before="20" w:after="20" w:line="280" w:lineRule="exact"/>
        <w:ind w:firstLine="378"/>
        <w:rPr>
          <w:rFonts w:ascii="標楷體" w:eastAsia="標楷體" w:hAnsi="標楷體"/>
        </w:rPr>
      </w:pPr>
      <w:r w:rsidRPr="00427285">
        <w:rPr>
          <w:rFonts w:ascii="標楷體" w:eastAsia="標楷體" w:hAnsi="標楷體"/>
        </w:rPr>
        <w:t>(A)去年之資產負債表</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(B)去年之綜合損益表</w:t>
      </w:r>
    </w:p>
    <w:p w:rsidR="00C31787" w:rsidRPr="00427285" w:rsidRDefault="00C31787" w:rsidP="00C31787">
      <w:pPr>
        <w:snapToGrid w:val="0"/>
        <w:spacing w:before="20" w:after="20" w:line="280" w:lineRule="exact"/>
        <w:ind w:firstLine="378"/>
        <w:rPr>
          <w:rFonts w:ascii="標楷體" w:eastAsia="標楷體" w:hAnsi="標楷體"/>
        </w:rPr>
      </w:pPr>
      <w:r w:rsidRPr="00427285">
        <w:rPr>
          <w:rFonts w:ascii="標楷體" w:eastAsia="標楷體" w:hAnsi="標楷體"/>
        </w:rPr>
        <w:t>(C)今年之資產負債表</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(D)今年之綜合損益表</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45</w:t>
      </w:r>
      <w:r>
        <w:rPr>
          <w:rFonts w:ascii="標楷體" w:eastAsia="標楷體" w:hAnsi="標楷體"/>
        </w:rPr>
        <w:t>.</w:t>
      </w:r>
      <w:r w:rsidRPr="008B4802">
        <w:rPr>
          <w:rFonts w:ascii="標楷體" w:eastAsia="標楷體" w:hAnsi="標楷體"/>
        </w:rPr>
        <w:t>一個正在成長中之企業，下列何項活動最可能產生負的現金流量？</w:t>
      </w:r>
    </w:p>
    <w:p w:rsidR="00E470BC" w:rsidRDefault="00C31787" w:rsidP="00C31787">
      <w:pPr>
        <w:snapToGrid w:val="0"/>
        <w:spacing w:before="20" w:after="20" w:line="280" w:lineRule="exact"/>
        <w:ind w:firstLine="406"/>
        <w:rPr>
          <w:rFonts w:ascii="標楷體" w:eastAsia="標楷體" w:hAnsi="標楷體"/>
        </w:rPr>
      </w:pPr>
      <w:r w:rsidRPr="00427285">
        <w:rPr>
          <w:rFonts w:ascii="標楷體" w:eastAsia="標楷體" w:hAnsi="標楷體"/>
        </w:rPr>
        <w:t>(A)營業活動</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Pr="00427285">
        <w:rPr>
          <w:rFonts w:ascii="標楷體" w:eastAsia="標楷體" w:hAnsi="標楷體"/>
        </w:rPr>
        <w:t>(B)融資活動</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p>
    <w:p w:rsidR="00C31787" w:rsidRPr="00427285" w:rsidRDefault="00C31787" w:rsidP="00C31787">
      <w:pPr>
        <w:snapToGrid w:val="0"/>
        <w:spacing w:before="20" w:after="20" w:line="280" w:lineRule="exact"/>
        <w:ind w:firstLine="406"/>
        <w:rPr>
          <w:rFonts w:ascii="標楷體" w:eastAsia="標楷體" w:hAnsi="標楷體"/>
        </w:rPr>
      </w:pPr>
      <w:r w:rsidRPr="00427285">
        <w:rPr>
          <w:rFonts w:ascii="標楷體" w:eastAsia="標楷體" w:hAnsi="標楷體"/>
        </w:rPr>
        <w:t>(C)投資活動</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00E470BC">
        <w:rPr>
          <w:rFonts w:ascii="標楷體" w:eastAsia="標楷體" w:hAnsi="標楷體"/>
        </w:rPr>
        <w:tab/>
      </w:r>
      <w:r w:rsidRPr="00427285">
        <w:rPr>
          <w:rFonts w:ascii="標楷體" w:eastAsia="標楷體" w:hAnsi="標楷體"/>
        </w:rPr>
        <w:t>(D)與顧客間之往來</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46</w:t>
      </w:r>
      <w:r>
        <w:rPr>
          <w:rFonts w:ascii="標楷體" w:eastAsia="標楷體" w:hAnsi="標楷體"/>
        </w:rPr>
        <w:t>.</w:t>
      </w:r>
      <w:r w:rsidRPr="008B4802">
        <w:rPr>
          <w:rFonts w:ascii="標楷體" w:eastAsia="標楷體" w:hAnsi="標楷體"/>
        </w:rPr>
        <w:t>下列何項目彌補虧損，嗣後有盈餘時須再還回原科目？</w:t>
      </w:r>
    </w:p>
    <w:p w:rsidR="00C31787" w:rsidRPr="00427285" w:rsidRDefault="00C31787" w:rsidP="00C31787">
      <w:pPr>
        <w:snapToGrid w:val="0"/>
        <w:spacing w:before="20" w:after="20" w:line="280" w:lineRule="exact"/>
        <w:ind w:firstLine="420"/>
        <w:rPr>
          <w:rFonts w:ascii="標楷體" w:eastAsia="標楷體" w:hAnsi="標楷體"/>
        </w:rPr>
      </w:pPr>
      <w:r w:rsidRPr="00427285">
        <w:rPr>
          <w:rFonts w:ascii="標楷體" w:eastAsia="標楷體" w:hAnsi="標楷體"/>
        </w:rPr>
        <w:t>(A)股票發行溢價</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(B)資產重估增值</w:t>
      </w:r>
    </w:p>
    <w:p w:rsidR="00C31787" w:rsidRPr="00427285" w:rsidRDefault="00C31787" w:rsidP="00C31787">
      <w:pPr>
        <w:snapToGrid w:val="0"/>
        <w:spacing w:before="20" w:after="20" w:line="280" w:lineRule="exact"/>
        <w:ind w:firstLine="426"/>
        <w:rPr>
          <w:rFonts w:ascii="標楷體" w:eastAsia="標楷體" w:hAnsi="標楷體"/>
        </w:rPr>
      </w:pPr>
      <w:r w:rsidRPr="00427285">
        <w:rPr>
          <w:rFonts w:ascii="標楷體" w:eastAsia="標楷體" w:hAnsi="標楷體"/>
        </w:rPr>
        <w:t>(C)保留盈餘</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(D)處分資產溢價</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47</w:t>
      </w:r>
      <w:r>
        <w:rPr>
          <w:rFonts w:ascii="標楷體" w:eastAsia="標楷體" w:hAnsi="標楷體"/>
        </w:rPr>
        <w:t>.</w:t>
      </w:r>
      <w:r w:rsidRPr="008B4802">
        <w:rPr>
          <w:rFonts w:ascii="標楷體" w:eastAsia="標楷體" w:hAnsi="標楷體"/>
        </w:rPr>
        <w:t>現金</w:t>
      </w:r>
      <w:proofErr w:type="gramStart"/>
      <w:r w:rsidRPr="008B4802">
        <w:rPr>
          <w:rFonts w:ascii="標楷體" w:eastAsia="標楷體" w:hAnsi="標楷體"/>
        </w:rPr>
        <w:t>週轉率係指</w:t>
      </w:r>
      <w:proofErr w:type="gramEnd"/>
      <w:r w:rsidRPr="008B4802">
        <w:rPr>
          <w:rFonts w:ascii="標楷體" w:eastAsia="標楷體" w:hAnsi="標楷體"/>
        </w:rPr>
        <w:t>下列何項比率？</w:t>
      </w:r>
    </w:p>
    <w:p w:rsidR="00C31787" w:rsidRPr="00427285" w:rsidRDefault="00C31787" w:rsidP="00C31787">
      <w:pPr>
        <w:snapToGrid w:val="0"/>
        <w:spacing w:before="20" w:after="20" w:line="280" w:lineRule="exact"/>
        <w:ind w:firstLine="392"/>
        <w:rPr>
          <w:rFonts w:ascii="標楷體" w:eastAsia="標楷體" w:hAnsi="標楷體"/>
        </w:rPr>
      </w:pPr>
      <w:r w:rsidRPr="00427285">
        <w:rPr>
          <w:rFonts w:ascii="標楷體" w:eastAsia="標楷體" w:hAnsi="標楷體"/>
        </w:rPr>
        <w:t>(A)平均現金對資產總額之比率</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(B)銷貨收入淨額對平均現金之比率</w:t>
      </w:r>
    </w:p>
    <w:p w:rsidR="00C31787" w:rsidRPr="00427285" w:rsidRDefault="00C31787" w:rsidP="00C31787">
      <w:pPr>
        <w:snapToGrid w:val="0"/>
        <w:spacing w:before="20" w:after="20" w:line="280" w:lineRule="exact"/>
        <w:ind w:firstLine="392"/>
        <w:rPr>
          <w:rFonts w:ascii="標楷體" w:eastAsia="標楷體" w:hAnsi="標楷體"/>
        </w:rPr>
      </w:pPr>
      <w:r w:rsidRPr="00427285">
        <w:rPr>
          <w:rFonts w:ascii="標楷體" w:eastAsia="標楷體" w:hAnsi="標楷體"/>
        </w:rPr>
        <w:t>(C)平均</w:t>
      </w:r>
      <w:proofErr w:type="gramStart"/>
      <w:r w:rsidRPr="00427285">
        <w:rPr>
          <w:rFonts w:ascii="標楷體" w:eastAsia="標楷體" w:hAnsi="標楷體"/>
        </w:rPr>
        <w:t>現金對銷貨</w:t>
      </w:r>
      <w:proofErr w:type="gramEnd"/>
      <w:r w:rsidRPr="00427285">
        <w:rPr>
          <w:rFonts w:ascii="標楷體" w:eastAsia="標楷體" w:hAnsi="標楷體"/>
        </w:rPr>
        <w:t>收入淨額之比率</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(D)流動資產總額對平均現金之比率</w:t>
      </w:r>
    </w:p>
    <w:p w:rsidR="00C31787" w:rsidRPr="008B4802" w:rsidRDefault="00C31787" w:rsidP="00C31787">
      <w:pPr>
        <w:snapToGrid w:val="0"/>
        <w:spacing w:before="60" w:after="60" w:line="300" w:lineRule="atLeast"/>
        <w:ind w:left="480" w:hanging="480"/>
        <w:rPr>
          <w:rFonts w:ascii="標楷體" w:eastAsia="標楷體" w:hAnsi="標楷體"/>
        </w:rPr>
      </w:pPr>
      <w:r>
        <w:rPr>
          <w:rFonts w:ascii="標楷體" w:eastAsia="標楷體" w:hAnsi="標楷體" w:hint="eastAsia"/>
        </w:rPr>
        <w:t>48</w:t>
      </w:r>
      <w:r>
        <w:rPr>
          <w:rFonts w:ascii="標楷體" w:eastAsia="標楷體" w:hAnsi="標楷體"/>
        </w:rPr>
        <w:t>.</w:t>
      </w:r>
      <w:r w:rsidRPr="008B4802">
        <w:rPr>
          <w:rFonts w:ascii="標楷體" w:eastAsia="標楷體" w:hAnsi="標楷體"/>
        </w:rPr>
        <w:t>下列何者將使未</w:t>
      </w:r>
      <w:proofErr w:type="gramStart"/>
      <w:r w:rsidRPr="008B4802">
        <w:rPr>
          <w:rFonts w:ascii="標楷體" w:eastAsia="標楷體" w:hAnsi="標楷體"/>
        </w:rPr>
        <w:t>提撥</w:t>
      </w:r>
      <w:proofErr w:type="gramEnd"/>
      <w:r w:rsidRPr="008B4802">
        <w:rPr>
          <w:rFonts w:ascii="標楷體" w:eastAsia="標楷體" w:hAnsi="標楷體"/>
        </w:rPr>
        <w:t>保留盈餘增加？</w:t>
      </w:r>
    </w:p>
    <w:p w:rsidR="00C31787" w:rsidRPr="00427285" w:rsidRDefault="00C31787" w:rsidP="00C31787">
      <w:pPr>
        <w:snapToGrid w:val="0"/>
        <w:spacing w:before="20" w:after="20" w:line="280" w:lineRule="exact"/>
        <w:ind w:firstLine="378"/>
        <w:rPr>
          <w:rFonts w:ascii="標楷體" w:eastAsia="標楷體" w:hAnsi="標楷體"/>
        </w:rPr>
      </w:pPr>
      <w:r w:rsidRPr="00427285">
        <w:rPr>
          <w:rFonts w:ascii="標楷體" w:eastAsia="標楷體" w:hAnsi="標楷體"/>
        </w:rPr>
        <w:t>(A)</w:t>
      </w:r>
      <w:proofErr w:type="gramStart"/>
      <w:r w:rsidRPr="00427285">
        <w:rPr>
          <w:rFonts w:ascii="標楷體" w:eastAsia="標楷體" w:hAnsi="標楷體"/>
        </w:rPr>
        <w:t>本期淨損</w:t>
      </w:r>
      <w:proofErr w:type="gramEnd"/>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(B)前期淨利低估</w:t>
      </w:r>
    </w:p>
    <w:p w:rsidR="00C31787" w:rsidRPr="00427285" w:rsidRDefault="00C31787" w:rsidP="00C31787">
      <w:pPr>
        <w:snapToGrid w:val="0"/>
        <w:spacing w:before="20" w:after="20" w:line="280" w:lineRule="exact"/>
        <w:ind w:firstLine="378"/>
        <w:rPr>
          <w:rFonts w:ascii="標楷體" w:eastAsia="標楷體" w:hAnsi="標楷體"/>
        </w:rPr>
      </w:pPr>
      <w:r w:rsidRPr="00427285">
        <w:rPr>
          <w:rFonts w:ascii="標楷體" w:eastAsia="標楷體" w:hAnsi="標楷體"/>
        </w:rPr>
        <w:t>(C)宣告現金股利</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(D)宣告股票股利</w:t>
      </w:r>
    </w:p>
    <w:p w:rsidR="00C31787" w:rsidRPr="008B4802" w:rsidRDefault="00C31787" w:rsidP="00C31787">
      <w:pPr>
        <w:snapToGrid w:val="0"/>
        <w:spacing w:before="60" w:after="60" w:line="300" w:lineRule="atLeast"/>
        <w:ind w:left="426" w:hanging="426"/>
        <w:rPr>
          <w:rFonts w:ascii="標楷體" w:eastAsia="標楷體" w:hAnsi="標楷體"/>
        </w:rPr>
      </w:pPr>
      <w:r>
        <w:rPr>
          <w:rFonts w:ascii="標楷體" w:eastAsia="標楷體" w:hAnsi="標楷體" w:hint="eastAsia"/>
        </w:rPr>
        <w:t>49</w:t>
      </w:r>
      <w:r>
        <w:rPr>
          <w:rFonts w:ascii="標楷體" w:eastAsia="標楷體" w:hAnsi="標楷體"/>
        </w:rPr>
        <w:t>.</w:t>
      </w:r>
      <w:r w:rsidRPr="008B4802">
        <w:rPr>
          <w:rFonts w:ascii="標楷體" w:eastAsia="標楷體" w:hAnsi="標楷體"/>
        </w:rPr>
        <w:t>久久公司X</w:t>
      </w:r>
      <w:proofErr w:type="gramStart"/>
      <w:r w:rsidRPr="008B4802">
        <w:rPr>
          <w:rFonts w:ascii="標楷體" w:eastAsia="標楷體" w:hAnsi="標楷體"/>
        </w:rPr>
        <w:t>1</w:t>
      </w:r>
      <w:proofErr w:type="gramEnd"/>
      <w:r w:rsidRPr="008B4802">
        <w:rPr>
          <w:rFonts w:ascii="標楷體" w:eastAsia="標楷體" w:hAnsi="標楷體"/>
        </w:rPr>
        <w:t>年度的營業收入為$2,000,000，營業利益為$400,000，變動營業成本及費用$600,000，則X</w:t>
      </w:r>
      <w:proofErr w:type="gramStart"/>
      <w:r w:rsidRPr="008B4802">
        <w:rPr>
          <w:rFonts w:ascii="標楷體" w:eastAsia="標楷體" w:hAnsi="標楷體"/>
        </w:rPr>
        <w:t>1</w:t>
      </w:r>
      <w:proofErr w:type="gramEnd"/>
      <w:r w:rsidRPr="008B4802">
        <w:rPr>
          <w:rFonts w:ascii="標楷體" w:eastAsia="標楷體" w:hAnsi="標楷體"/>
        </w:rPr>
        <w:t>年度其營運槓桿度為：</w:t>
      </w:r>
    </w:p>
    <w:p w:rsidR="00C31787" w:rsidRPr="00427285" w:rsidRDefault="00C31787" w:rsidP="00C31787">
      <w:pPr>
        <w:snapToGrid w:val="0"/>
        <w:spacing w:before="20" w:after="20" w:line="280" w:lineRule="exact"/>
        <w:ind w:firstLine="426"/>
        <w:rPr>
          <w:rFonts w:ascii="標楷體" w:eastAsia="標楷體" w:hAnsi="標楷體"/>
        </w:rPr>
      </w:pPr>
      <w:r w:rsidRPr="00427285">
        <w:rPr>
          <w:rFonts w:ascii="標楷體" w:eastAsia="標楷體" w:hAnsi="標楷體"/>
        </w:rPr>
        <w:t>(A</w:t>
      </w:r>
      <w:proofErr w:type="gramStart"/>
      <w:r w:rsidRPr="00427285">
        <w:rPr>
          <w:rFonts w:ascii="標楷體" w:eastAsia="標楷體" w:hAnsi="標楷體"/>
        </w:rPr>
        <w:t>)1.8</w:t>
      </w:r>
      <w:proofErr w:type="gramEnd"/>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(B)2</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(C)2.5</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(D)3.5</w:t>
      </w:r>
    </w:p>
    <w:p w:rsidR="00C31787" w:rsidRPr="008B4802" w:rsidRDefault="00C31787" w:rsidP="00C31787">
      <w:pPr>
        <w:snapToGrid w:val="0"/>
        <w:spacing w:before="60" w:after="60" w:line="300" w:lineRule="atLeast"/>
        <w:ind w:left="378" w:hanging="378"/>
        <w:rPr>
          <w:rFonts w:ascii="標楷體" w:eastAsia="標楷體" w:hAnsi="標楷體"/>
        </w:rPr>
      </w:pPr>
      <w:r>
        <w:rPr>
          <w:rFonts w:ascii="標楷體" w:eastAsia="標楷體" w:hAnsi="標楷體" w:hint="eastAsia"/>
        </w:rPr>
        <w:t>50</w:t>
      </w:r>
      <w:r>
        <w:rPr>
          <w:rFonts w:ascii="標楷體" w:eastAsia="標楷體" w:hAnsi="標楷體"/>
        </w:rPr>
        <w:t>.</w:t>
      </w:r>
      <w:r w:rsidRPr="008B4802">
        <w:rPr>
          <w:rFonts w:ascii="標楷體" w:eastAsia="標楷體" w:hAnsi="標楷體"/>
        </w:rPr>
        <w:t>公司賣出庫藏股票價格如果較原先取得價格高時，對於財務報表之影響為何？</w:t>
      </w:r>
    </w:p>
    <w:p w:rsidR="00C31787" w:rsidRPr="00427285" w:rsidRDefault="00C31787" w:rsidP="00C31787">
      <w:pPr>
        <w:tabs>
          <w:tab w:val="left" w:pos="406"/>
        </w:tabs>
        <w:snapToGrid w:val="0"/>
        <w:spacing w:before="20" w:after="20" w:line="280" w:lineRule="exact"/>
        <w:rPr>
          <w:rFonts w:ascii="標楷體" w:eastAsia="標楷體" w:hAnsi="標楷體"/>
        </w:rPr>
      </w:pPr>
      <w:r>
        <w:rPr>
          <w:rFonts w:ascii="標楷體" w:eastAsia="標楷體" w:hAnsi="標楷體" w:hint="eastAsia"/>
        </w:rPr>
        <w:tab/>
      </w:r>
      <w:r w:rsidRPr="00427285">
        <w:rPr>
          <w:rFonts w:ascii="標楷體" w:eastAsia="標楷體" w:hAnsi="標楷體"/>
        </w:rPr>
        <w:t>(A)將產生利益</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(B)將增加損失</w:t>
      </w:r>
    </w:p>
    <w:p w:rsidR="00C31787" w:rsidRPr="00427285" w:rsidRDefault="00C31787" w:rsidP="00C31787">
      <w:pPr>
        <w:snapToGrid w:val="0"/>
        <w:spacing w:before="20" w:after="20" w:line="280" w:lineRule="exact"/>
        <w:ind w:leftChars="60" w:left="144" w:firstLine="248"/>
        <w:rPr>
          <w:rFonts w:ascii="標楷體" w:eastAsia="標楷體" w:hAnsi="標楷體"/>
        </w:rPr>
      </w:pPr>
      <w:r w:rsidRPr="00427285">
        <w:rPr>
          <w:rFonts w:ascii="標楷體" w:eastAsia="標楷體" w:hAnsi="標楷體"/>
        </w:rPr>
        <w:t>(C)將使權益增加</w:t>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Pr>
          <w:rFonts w:ascii="標楷體" w:eastAsia="標楷體" w:hAnsi="標楷體" w:hint="eastAsia"/>
        </w:rPr>
        <w:tab/>
      </w:r>
      <w:r w:rsidRPr="00427285">
        <w:rPr>
          <w:rFonts w:ascii="標楷體" w:eastAsia="標楷體" w:hAnsi="標楷體"/>
        </w:rPr>
        <w:t>(D)可作為股本加項</w:t>
      </w:r>
    </w:p>
    <w:p w:rsidR="00C31787" w:rsidRPr="00427285" w:rsidRDefault="00C31787" w:rsidP="00C31787">
      <w:pPr>
        <w:snapToGrid w:val="0"/>
        <w:spacing w:before="20" w:after="20" w:line="280" w:lineRule="exact"/>
        <w:ind w:left="1200" w:hanging="360"/>
        <w:rPr>
          <w:rFonts w:ascii="標楷體" w:eastAsia="標楷體" w:hAnsi="標楷體"/>
        </w:rPr>
      </w:pPr>
    </w:p>
    <w:p w:rsidR="00A44960" w:rsidRPr="00C31787" w:rsidRDefault="00A44960" w:rsidP="00D7662C">
      <w:pPr>
        <w:tabs>
          <w:tab w:val="left" w:pos="2977"/>
          <w:tab w:val="left" w:pos="5387"/>
          <w:tab w:val="left" w:pos="7797"/>
        </w:tabs>
        <w:snapToGrid w:val="0"/>
        <w:spacing w:before="20" w:after="20" w:line="300" w:lineRule="exact"/>
        <w:ind w:firstLine="567"/>
        <w:rPr>
          <w:rFonts w:ascii="Arial" w:eastAsia="標楷體" w:hAnsi="Arial" w:cs="Arial"/>
        </w:rPr>
      </w:pPr>
    </w:p>
    <w:sectPr w:rsidR="00A44960" w:rsidRPr="00C31787" w:rsidSect="00C31787">
      <w:pgSz w:w="11907" w:h="16840" w:code="9"/>
      <w:pgMar w:top="851" w:right="851" w:bottom="851" w:left="851" w:header="851" w:footer="992" w:gutter="0"/>
      <w:cols w:space="480"/>
      <w:docGrid w:type="lines" w:linePitch="360" w:charSpace="984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4FD" w:rsidRDefault="009114FD" w:rsidP="00E8593B">
      <w:r>
        <w:separator/>
      </w:r>
    </w:p>
  </w:endnote>
  <w:endnote w:type="continuationSeparator" w:id="0">
    <w:p w:rsidR="009114FD" w:rsidRDefault="009114FD" w:rsidP="00E85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4FD" w:rsidRDefault="009114FD" w:rsidP="00E8593B">
      <w:r>
        <w:separator/>
      </w:r>
    </w:p>
  </w:footnote>
  <w:footnote w:type="continuationSeparator" w:id="0">
    <w:p w:rsidR="009114FD" w:rsidRDefault="009114FD" w:rsidP="00E859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F5828"/>
    <w:multiLevelType w:val="hybridMultilevel"/>
    <w:tmpl w:val="5FA24B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B117F71"/>
    <w:multiLevelType w:val="hybridMultilevel"/>
    <w:tmpl w:val="BB2644EA"/>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32DB2C25"/>
    <w:multiLevelType w:val="hybridMultilevel"/>
    <w:tmpl w:val="DC9CE7AC"/>
    <w:lvl w:ilvl="0" w:tplc="E0023590">
      <w:start w:val="1"/>
      <w:numFmt w:val="decimal"/>
      <w:lvlText w:val="%1."/>
      <w:lvlJc w:val="left"/>
      <w:pPr>
        <w:ind w:left="480" w:hanging="480"/>
      </w:pPr>
      <w:rPr>
        <w:rFonts w:ascii="Arial" w:hAnsi="Arial" w:cs="Arial" w:hint="default"/>
        <w:b w:val="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A1B1530"/>
    <w:multiLevelType w:val="hybridMultilevel"/>
    <w:tmpl w:val="E626BD0E"/>
    <w:lvl w:ilvl="0" w:tplc="3112FE10">
      <w:start w:val="1"/>
      <w:numFmt w:val="decimal"/>
      <w:lvlText w:val="%1."/>
      <w:lvlJc w:val="left"/>
      <w:pPr>
        <w:tabs>
          <w:tab w:val="num" w:pos="360"/>
        </w:tabs>
        <w:ind w:left="360" w:hanging="360"/>
      </w:pPr>
      <w:rPr>
        <w:rFonts w:ascii="Times New Roman" w:eastAsia="Times New Roman" w:hAnsi="Times New Roman" w:cs="Times New Roman"/>
      </w:rPr>
    </w:lvl>
    <w:lvl w:ilvl="1" w:tplc="1DDE36BA">
      <w:start w:val="1"/>
      <w:numFmt w:val="upperLetter"/>
      <w:lvlText w:val="(%2)"/>
      <w:lvlJc w:val="left"/>
      <w:pPr>
        <w:tabs>
          <w:tab w:val="num" w:pos="936"/>
        </w:tabs>
        <w:ind w:left="936" w:hanging="456"/>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6A6E4461"/>
    <w:multiLevelType w:val="hybridMultilevel"/>
    <w:tmpl w:val="F0C8F1EE"/>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3"/>
  </w:num>
  <w:num w:numId="2">
    <w:abstractNumId w:val="2"/>
  </w:num>
  <w:num w:numId="3">
    <w:abstractNumId w:val="1"/>
  </w:num>
  <w:num w:numId="4">
    <w:abstractNumId w:val="4"/>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721"/>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1B0"/>
    <w:rsid w:val="00002B9F"/>
    <w:rsid w:val="00006511"/>
    <w:rsid w:val="000211AE"/>
    <w:rsid w:val="000357A5"/>
    <w:rsid w:val="000547EB"/>
    <w:rsid w:val="00072B7B"/>
    <w:rsid w:val="000735A7"/>
    <w:rsid w:val="00073F76"/>
    <w:rsid w:val="00075903"/>
    <w:rsid w:val="000809B3"/>
    <w:rsid w:val="000857CB"/>
    <w:rsid w:val="000C4B85"/>
    <w:rsid w:val="000E05FE"/>
    <w:rsid w:val="000E1A08"/>
    <w:rsid w:val="00106EE8"/>
    <w:rsid w:val="001121B0"/>
    <w:rsid w:val="00126DC6"/>
    <w:rsid w:val="00134A25"/>
    <w:rsid w:val="001375BD"/>
    <w:rsid w:val="00145BFB"/>
    <w:rsid w:val="00150536"/>
    <w:rsid w:val="00163918"/>
    <w:rsid w:val="001B254B"/>
    <w:rsid w:val="001B510A"/>
    <w:rsid w:val="001C3DBB"/>
    <w:rsid w:val="001C7FDF"/>
    <w:rsid w:val="001E4B2A"/>
    <w:rsid w:val="001F0276"/>
    <w:rsid w:val="001F5E2E"/>
    <w:rsid w:val="0020006F"/>
    <w:rsid w:val="002022E5"/>
    <w:rsid w:val="00207A08"/>
    <w:rsid w:val="002248CB"/>
    <w:rsid w:val="00227349"/>
    <w:rsid w:val="00255939"/>
    <w:rsid w:val="00265A27"/>
    <w:rsid w:val="002A27F0"/>
    <w:rsid w:val="002D2E98"/>
    <w:rsid w:val="002D3D8C"/>
    <w:rsid w:val="00300B3D"/>
    <w:rsid w:val="0030173E"/>
    <w:rsid w:val="00312B8E"/>
    <w:rsid w:val="0031391A"/>
    <w:rsid w:val="0032224F"/>
    <w:rsid w:val="00324D46"/>
    <w:rsid w:val="00327485"/>
    <w:rsid w:val="00352D5B"/>
    <w:rsid w:val="00360A74"/>
    <w:rsid w:val="003612DD"/>
    <w:rsid w:val="003638A4"/>
    <w:rsid w:val="00366EB1"/>
    <w:rsid w:val="003716A6"/>
    <w:rsid w:val="003744B0"/>
    <w:rsid w:val="00375567"/>
    <w:rsid w:val="00383859"/>
    <w:rsid w:val="0038625B"/>
    <w:rsid w:val="003934C0"/>
    <w:rsid w:val="003A1B74"/>
    <w:rsid w:val="003D03A8"/>
    <w:rsid w:val="003D1C50"/>
    <w:rsid w:val="003D34CD"/>
    <w:rsid w:val="003E531C"/>
    <w:rsid w:val="004025E3"/>
    <w:rsid w:val="00406582"/>
    <w:rsid w:val="00423EAC"/>
    <w:rsid w:val="0042760A"/>
    <w:rsid w:val="00430CF8"/>
    <w:rsid w:val="00454E83"/>
    <w:rsid w:val="00464403"/>
    <w:rsid w:val="00466EF0"/>
    <w:rsid w:val="004A5655"/>
    <w:rsid w:val="004B0153"/>
    <w:rsid w:val="004C0A42"/>
    <w:rsid w:val="004C5A52"/>
    <w:rsid w:val="004D5E0E"/>
    <w:rsid w:val="004E4E9E"/>
    <w:rsid w:val="004F7C41"/>
    <w:rsid w:val="00500DB3"/>
    <w:rsid w:val="00550D86"/>
    <w:rsid w:val="00570689"/>
    <w:rsid w:val="00571D73"/>
    <w:rsid w:val="00587853"/>
    <w:rsid w:val="005977A8"/>
    <w:rsid w:val="005A1BE1"/>
    <w:rsid w:val="005A660D"/>
    <w:rsid w:val="005B2597"/>
    <w:rsid w:val="005C3C69"/>
    <w:rsid w:val="0060232A"/>
    <w:rsid w:val="00617A5C"/>
    <w:rsid w:val="00624A0B"/>
    <w:rsid w:val="006453C8"/>
    <w:rsid w:val="006579B6"/>
    <w:rsid w:val="00662640"/>
    <w:rsid w:val="00662730"/>
    <w:rsid w:val="006802E4"/>
    <w:rsid w:val="00680715"/>
    <w:rsid w:val="00684D62"/>
    <w:rsid w:val="00686365"/>
    <w:rsid w:val="006C4FDC"/>
    <w:rsid w:val="006D2FF5"/>
    <w:rsid w:val="006E11A2"/>
    <w:rsid w:val="006E1901"/>
    <w:rsid w:val="006F5B5E"/>
    <w:rsid w:val="006F663F"/>
    <w:rsid w:val="006F7603"/>
    <w:rsid w:val="006F7F38"/>
    <w:rsid w:val="007239EA"/>
    <w:rsid w:val="007303FC"/>
    <w:rsid w:val="0073675F"/>
    <w:rsid w:val="00747DB8"/>
    <w:rsid w:val="00756A4E"/>
    <w:rsid w:val="007653FA"/>
    <w:rsid w:val="007702A3"/>
    <w:rsid w:val="00771E1A"/>
    <w:rsid w:val="007730E3"/>
    <w:rsid w:val="00775098"/>
    <w:rsid w:val="00783C8B"/>
    <w:rsid w:val="00790F83"/>
    <w:rsid w:val="007925DF"/>
    <w:rsid w:val="0079403C"/>
    <w:rsid w:val="007A56DF"/>
    <w:rsid w:val="007B2B5D"/>
    <w:rsid w:val="007B53F2"/>
    <w:rsid w:val="007B542E"/>
    <w:rsid w:val="007E6D70"/>
    <w:rsid w:val="007F4808"/>
    <w:rsid w:val="00827CB0"/>
    <w:rsid w:val="00840DAC"/>
    <w:rsid w:val="00842FF7"/>
    <w:rsid w:val="00850E36"/>
    <w:rsid w:val="0085132D"/>
    <w:rsid w:val="00864B7F"/>
    <w:rsid w:val="0088035D"/>
    <w:rsid w:val="00892ACE"/>
    <w:rsid w:val="0089489B"/>
    <w:rsid w:val="00896DD6"/>
    <w:rsid w:val="008C14DB"/>
    <w:rsid w:val="008D0072"/>
    <w:rsid w:val="008D024C"/>
    <w:rsid w:val="008D1AFB"/>
    <w:rsid w:val="008E5B15"/>
    <w:rsid w:val="008F42CC"/>
    <w:rsid w:val="00901D9A"/>
    <w:rsid w:val="009114FD"/>
    <w:rsid w:val="0093576F"/>
    <w:rsid w:val="0095604F"/>
    <w:rsid w:val="00961B79"/>
    <w:rsid w:val="0098137A"/>
    <w:rsid w:val="009859E8"/>
    <w:rsid w:val="00986D4B"/>
    <w:rsid w:val="009A3456"/>
    <w:rsid w:val="009A6834"/>
    <w:rsid w:val="009B156D"/>
    <w:rsid w:val="009B25EF"/>
    <w:rsid w:val="009B64BA"/>
    <w:rsid w:val="009D3D83"/>
    <w:rsid w:val="00A0243F"/>
    <w:rsid w:val="00A1727D"/>
    <w:rsid w:val="00A30E64"/>
    <w:rsid w:val="00A4006A"/>
    <w:rsid w:val="00A44960"/>
    <w:rsid w:val="00A47F42"/>
    <w:rsid w:val="00A507ED"/>
    <w:rsid w:val="00A5195F"/>
    <w:rsid w:val="00A66228"/>
    <w:rsid w:val="00A81E0B"/>
    <w:rsid w:val="00A82CD4"/>
    <w:rsid w:val="00A9126D"/>
    <w:rsid w:val="00AA4AA7"/>
    <w:rsid w:val="00AB272C"/>
    <w:rsid w:val="00AE0137"/>
    <w:rsid w:val="00AE015E"/>
    <w:rsid w:val="00AF0A74"/>
    <w:rsid w:val="00AF35EA"/>
    <w:rsid w:val="00B3035E"/>
    <w:rsid w:val="00B349F9"/>
    <w:rsid w:val="00B42E3E"/>
    <w:rsid w:val="00B43E28"/>
    <w:rsid w:val="00B60CE5"/>
    <w:rsid w:val="00B64BC6"/>
    <w:rsid w:val="00B6596D"/>
    <w:rsid w:val="00B7209F"/>
    <w:rsid w:val="00B80876"/>
    <w:rsid w:val="00B811FB"/>
    <w:rsid w:val="00B872EF"/>
    <w:rsid w:val="00B91822"/>
    <w:rsid w:val="00B931DB"/>
    <w:rsid w:val="00BB102E"/>
    <w:rsid w:val="00BC62E7"/>
    <w:rsid w:val="00BD3848"/>
    <w:rsid w:val="00BD6634"/>
    <w:rsid w:val="00BF2689"/>
    <w:rsid w:val="00BF3379"/>
    <w:rsid w:val="00C05779"/>
    <w:rsid w:val="00C10F29"/>
    <w:rsid w:val="00C149C7"/>
    <w:rsid w:val="00C24BA9"/>
    <w:rsid w:val="00C31787"/>
    <w:rsid w:val="00C362BF"/>
    <w:rsid w:val="00C40479"/>
    <w:rsid w:val="00C6155E"/>
    <w:rsid w:val="00C65FA1"/>
    <w:rsid w:val="00C8538F"/>
    <w:rsid w:val="00C86CBF"/>
    <w:rsid w:val="00C903AD"/>
    <w:rsid w:val="00CA0871"/>
    <w:rsid w:val="00CA3327"/>
    <w:rsid w:val="00CD4551"/>
    <w:rsid w:val="00CE14EB"/>
    <w:rsid w:val="00CE342F"/>
    <w:rsid w:val="00CF0CE3"/>
    <w:rsid w:val="00D15256"/>
    <w:rsid w:val="00D32414"/>
    <w:rsid w:val="00D3492D"/>
    <w:rsid w:val="00D46281"/>
    <w:rsid w:val="00D57E17"/>
    <w:rsid w:val="00D7662C"/>
    <w:rsid w:val="00D962E2"/>
    <w:rsid w:val="00DA639D"/>
    <w:rsid w:val="00DB0D89"/>
    <w:rsid w:val="00DB47CA"/>
    <w:rsid w:val="00DB55D4"/>
    <w:rsid w:val="00DC551F"/>
    <w:rsid w:val="00DC77FB"/>
    <w:rsid w:val="00DF5435"/>
    <w:rsid w:val="00E07642"/>
    <w:rsid w:val="00E15946"/>
    <w:rsid w:val="00E31593"/>
    <w:rsid w:val="00E344F4"/>
    <w:rsid w:val="00E470BC"/>
    <w:rsid w:val="00E50721"/>
    <w:rsid w:val="00E64729"/>
    <w:rsid w:val="00E758FF"/>
    <w:rsid w:val="00E82CEC"/>
    <w:rsid w:val="00E8593B"/>
    <w:rsid w:val="00E96658"/>
    <w:rsid w:val="00E97EAE"/>
    <w:rsid w:val="00EA0878"/>
    <w:rsid w:val="00EB0D6E"/>
    <w:rsid w:val="00EB1649"/>
    <w:rsid w:val="00EB48CB"/>
    <w:rsid w:val="00EB5357"/>
    <w:rsid w:val="00EC007B"/>
    <w:rsid w:val="00EC1142"/>
    <w:rsid w:val="00EC17DF"/>
    <w:rsid w:val="00ED68E1"/>
    <w:rsid w:val="00ED758C"/>
    <w:rsid w:val="00F06011"/>
    <w:rsid w:val="00F22445"/>
    <w:rsid w:val="00F30DDC"/>
    <w:rsid w:val="00F556A2"/>
    <w:rsid w:val="00F56BC3"/>
    <w:rsid w:val="00F64461"/>
    <w:rsid w:val="00F73634"/>
    <w:rsid w:val="00F7396D"/>
    <w:rsid w:val="00FB6A8D"/>
    <w:rsid w:val="00FD18E1"/>
    <w:rsid w:val="00FD3184"/>
    <w:rsid w:val="00FD3C24"/>
    <w:rsid w:val="00FD6421"/>
    <w:rsid w:val="00FE2F91"/>
    <w:rsid w:val="00FF34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1B0"/>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題號"/>
    <w:basedOn w:val="a"/>
    <w:rsid w:val="00790F83"/>
    <w:rPr>
      <w:rFonts w:ascii="標楷體" w:eastAsia="標楷體" w:hAnsi="標楷體"/>
    </w:rPr>
  </w:style>
  <w:style w:type="paragraph" w:customStyle="1" w:styleId="a4">
    <w:name w:val="選項"/>
    <w:basedOn w:val="a"/>
    <w:rsid w:val="00790F83"/>
    <w:pPr>
      <w:snapToGrid w:val="0"/>
      <w:spacing w:before="20" w:after="20"/>
      <w:ind w:leftChars="150" w:left="720" w:hanging="360"/>
    </w:pPr>
    <w:rPr>
      <w:rFonts w:ascii="標楷體" w:eastAsia="標楷體" w:hAnsi="標楷體"/>
    </w:rPr>
  </w:style>
  <w:style w:type="paragraph" w:styleId="a5">
    <w:name w:val="header"/>
    <w:basedOn w:val="a"/>
    <w:link w:val="a6"/>
    <w:uiPriority w:val="99"/>
    <w:rsid w:val="00E8593B"/>
    <w:pPr>
      <w:tabs>
        <w:tab w:val="center" w:pos="4153"/>
        <w:tab w:val="right" w:pos="8306"/>
      </w:tabs>
      <w:snapToGrid w:val="0"/>
    </w:pPr>
    <w:rPr>
      <w:sz w:val="20"/>
      <w:szCs w:val="20"/>
      <w:lang w:val="x-none" w:eastAsia="x-none"/>
    </w:rPr>
  </w:style>
  <w:style w:type="character" w:customStyle="1" w:styleId="a6">
    <w:name w:val="頁首 字元"/>
    <w:link w:val="a5"/>
    <w:uiPriority w:val="99"/>
    <w:rsid w:val="00E8593B"/>
    <w:rPr>
      <w:kern w:val="2"/>
    </w:rPr>
  </w:style>
  <w:style w:type="paragraph" w:styleId="a7">
    <w:name w:val="footer"/>
    <w:basedOn w:val="a"/>
    <w:link w:val="a8"/>
    <w:rsid w:val="00E8593B"/>
    <w:pPr>
      <w:tabs>
        <w:tab w:val="center" w:pos="4153"/>
        <w:tab w:val="right" w:pos="8306"/>
      </w:tabs>
      <w:snapToGrid w:val="0"/>
    </w:pPr>
    <w:rPr>
      <w:sz w:val="20"/>
      <w:szCs w:val="20"/>
      <w:lang w:val="x-none" w:eastAsia="x-none"/>
    </w:rPr>
  </w:style>
  <w:style w:type="character" w:customStyle="1" w:styleId="a8">
    <w:name w:val="頁尾 字元"/>
    <w:link w:val="a7"/>
    <w:rsid w:val="00E8593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B1D9E7-54A5-4D88-9D00-9D3D14DE9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1329</Words>
  <Characters>7576</Characters>
  <Application>Microsoft Office Word</Application>
  <DocSecurity>0</DocSecurity>
  <Lines>63</Lines>
  <Paragraphs>17</Paragraphs>
  <ScaleCrop>false</ScaleCrop>
  <Company>Microsoft</Company>
  <LinksUpToDate>false</LinksUpToDate>
  <CharactersWithSpaces>8888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 普業</dc:title>
  <dc:creator>MOEX</dc:creator>
  <cp:lastModifiedBy>廖力瑢</cp:lastModifiedBy>
  <cp:revision>2</cp:revision>
  <cp:lastPrinted>2020-12-01T09:52:00Z</cp:lastPrinted>
  <dcterms:created xsi:type="dcterms:W3CDTF">2020-12-07T06:04:00Z</dcterms:created>
  <dcterms:modified xsi:type="dcterms:W3CDTF">2020-12-07T06:04:00Z</dcterms:modified>
</cp:coreProperties>
</file>