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A9C" w:rsidRPr="008D341A" w:rsidRDefault="00D40A9C" w:rsidP="00D40A9C">
      <w:pPr>
        <w:snapToGrid w:val="0"/>
        <w:spacing w:after="24" w:line="360" w:lineRule="atLeast"/>
        <w:rPr>
          <w:rFonts w:ascii="Arial" w:eastAsia="標楷體" w:hAnsi="Arial" w:cs="Arial"/>
          <w:b/>
          <w:sz w:val="32"/>
          <w:szCs w:val="32"/>
        </w:rPr>
      </w:pPr>
      <w:bookmarkStart w:id="0" w:name="_GoBack"/>
      <w:bookmarkEnd w:id="0"/>
      <w:r w:rsidRPr="008D341A">
        <w:rPr>
          <w:rFonts w:ascii="Arial" w:eastAsia="標楷體" w:hAnsi="Arial" w:cs="Arial"/>
          <w:b/>
          <w:sz w:val="32"/>
          <w:szCs w:val="32"/>
        </w:rPr>
        <w:t>109</w:t>
      </w:r>
      <w:r w:rsidRPr="008D341A">
        <w:rPr>
          <w:rFonts w:ascii="Arial" w:eastAsia="標楷體" w:hAnsi="Arial" w:cs="Arial"/>
          <w:b/>
          <w:sz w:val="32"/>
          <w:szCs w:val="32"/>
        </w:rPr>
        <w:t>年第</w:t>
      </w:r>
      <w:r w:rsidRPr="008D341A">
        <w:rPr>
          <w:rFonts w:ascii="Arial" w:eastAsia="標楷體" w:hAnsi="Arial" w:cs="Arial"/>
          <w:b/>
          <w:sz w:val="32"/>
          <w:szCs w:val="32"/>
        </w:rPr>
        <w:t>1</w:t>
      </w:r>
      <w:r w:rsidRPr="008D341A">
        <w:rPr>
          <w:rFonts w:ascii="Arial" w:eastAsia="標楷體" w:hAnsi="Arial" w:cs="Arial"/>
          <w:b/>
          <w:sz w:val="32"/>
          <w:szCs w:val="32"/>
        </w:rPr>
        <w:t>次資產證券化基本能力測驗試題</w:t>
      </w:r>
    </w:p>
    <w:p w:rsidR="00D40A9C" w:rsidRPr="008D341A" w:rsidRDefault="00D40A9C" w:rsidP="00D40A9C">
      <w:pPr>
        <w:tabs>
          <w:tab w:val="left" w:pos="5640"/>
        </w:tabs>
        <w:snapToGrid w:val="0"/>
        <w:spacing w:after="24"/>
        <w:rPr>
          <w:rFonts w:ascii="Arial" w:eastAsia="標楷體" w:hAnsi="Arial" w:cs="Arial"/>
          <w:b/>
          <w:sz w:val="28"/>
        </w:rPr>
      </w:pPr>
      <w:r w:rsidRPr="008D341A">
        <w:rPr>
          <w:rFonts w:ascii="Arial" w:eastAsia="標楷體" w:hAnsi="Arial" w:cs="Arial"/>
          <w:b/>
          <w:sz w:val="28"/>
        </w:rPr>
        <w:t>科目：資產證券化理論與實務</w:t>
      </w:r>
      <w:r w:rsidRPr="008D341A">
        <w:rPr>
          <w:rFonts w:ascii="標楷體" w:eastAsia="標楷體" w:hAnsi="標楷體" w:cs="Arial"/>
          <w:b/>
          <w:sz w:val="28"/>
        </w:rPr>
        <w:t>(</w:t>
      </w:r>
      <w:r w:rsidRPr="008D341A">
        <w:rPr>
          <w:rFonts w:ascii="Arial" w:eastAsia="標楷體" w:hAnsi="Arial" w:cs="Arial"/>
          <w:b/>
          <w:sz w:val="28"/>
        </w:rPr>
        <w:t>含相關法規</w:t>
      </w:r>
      <w:r w:rsidRPr="008D341A">
        <w:rPr>
          <w:rFonts w:ascii="標楷體" w:eastAsia="標楷體" w:hAnsi="標楷體" w:cs="Arial"/>
          <w:b/>
          <w:sz w:val="28"/>
        </w:rPr>
        <w:t>)(</w:t>
      </w:r>
      <w:r w:rsidRPr="008D341A">
        <w:rPr>
          <w:rFonts w:ascii="Arial" w:eastAsia="標楷體" w:hAnsi="Arial" w:cs="Arial"/>
          <w:b/>
          <w:sz w:val="28"/>
        </w:rPr>
        <w:t>第一節</w:t>
      </w:r>
      <w:r w:rsidRPr="008D341A">
        <w:rPr>
          <w:rFonts w:ascii="標楷體" w:eastAsia="標楷體" w:hAnsi="標楷體" w:cs="Arial"/>
          <w:b/>
          <w:sz w:val="28"/>
        </w:rPr>
        <w:t>)</w:t>
      </w:r>
      <w:r w:rsidRPr="008D341A">
        <w:rPr>
          <w:rFonts w:ascii="Arial" w:eastAsia="標楷體" w:hAnsi="Arial" w:cs="Arial"/>
          <w:b/>
          <w:sz w:val="28"/>
        </w:rPr>
        <w:tab/>
      </w:r>
      <w:r w:rsidRPr="008D341A">
        <w:rPr>
          <w:rFonts w:ascii="Arial" w:eastAsia="標楷體" w:hAnsi="Arial" w:cs="Arial"/>
          <w:b/>
          <w:sz w:val="28"/>
        </w:rPr>
        <w:tab/>
      </w:r>
      <w:r w:rsidRPr="008D341A">
        <w:rPr>
          <w:rFonts w:ascii="Arial" w:eastAsia="標楷體" w:hAnsi="Arial" w:cs="Arial"/>
          <w:b/>
          <w:sz w:val="28"/>
        </w:rPr>
        <w:t>請填應試號碼：</w:t>
      </w:r>
      <w:r w:rsidRPr="008D341A">
        <w:rPr>
          <w:rFonts w:ascii="Arial" w:eastAsia="標楷體" w:hAnsi="Arial" w:cs="Arial"/>
          <w:b/>
          <w:sz w:val="28"/>
          <w:u w:val="single"/>
        </w:rPr>
        <w:t xml:space="preserve">            </w:t>
      </w:r>
    </w:p>
    <w:p w:rsidR="00D40A9C" w:rsidRPr="008D341A" w:rsidRDefault="00D40A9C" w:rsidP="00D40A9C">
      <w:pPr>
        <w:ind w:left="952" w:hangingChars="403" w:hanging="952"/>
        <w:rPr>
          <w:rFonts w:ascii="Arial" w:eastAsia="標楷體" w:hAnsi="Arial" w:cs="Arial"/>
          <w:b/>
          <w:spacing w:val="-2"/>
        </w:rPr>
      </w:pPr>
      <w:r w:rsidRPr="008D341A">
        <w:rPr>
          <w:rFonts w:ascii="細明體" w:eastAsia="細明體" w:hAnsi="細明體" w:cs="細明體" w:hint="eastAsia"/>
          <w:b/>
          <w:spacing w:val="-2"/>
        </w:rPr>
        <w:t>※</w:t>
      </w:r>
      <w:r w:rsidRPr="008D341A">
        <w:rPr>
          <w:rFonts w:ascii="Arial" w:eastAsia="標楷體" w:hAnsi="Arial" w:cs="Arial"/>
          <w:b/>
          <w:spacing w:val="-2"/>
        </w:rPr>
        <w:t>注意：考生請在「答案卡」上作答，共</w:t>
      </w:r>
      <w:r w:rsidRPr="008D341A">
        <w:rPr>
          <w:rFonts w:ascii="Arial" w:eastAsia="標楷體" w:hAnsi="Arial" w:cs="Arial"/>
          <w:b/>
          <w:spacing w:val="-2"/>
        </w:rPr>
        <w:t>50</w:t>
      </w:r>
      <w:r w:rsidRPr="008D341A">
        <w:rPr>
          <w:rFonts w:ascii="Arial" w:eastAsia="標楷體" w:hAnsi="Arial" w:cs="Arial"/>
          <w:b/>
          <w:spacing w:val="-2"/>
        </w:rPr>
        <w:t>題，每題</w:t>
      </w:r>
      <w:r w:rsidRPr="008D341A">
        <w:rPr>
          <w:rFonts w:ascii="Arial" w:eastAsia="標楷體" w:hAnsi="Arial" w:cs="Arial"/>
          <w:b/>
          <w:spacing w:val="-2"/>
        </w:rPr>
        <w:t>2</w:t>
      </w:r>
      <w:r w:rsidRPr="008D341A">
        <w:rPr>
          <w:rFonts w:ascii="Arial" w:eastAsia="標楷體" w:hAnsi="Arial" w:cs="Arial"/>
          <w:b/>
          <w:spacing w:val="-2"/>
        </w:rPr>
        <w:t>分，每一試題有</w:t>
      </w:r>
      <w:r w:rsidRPr="008D341A">
        <w:rPr>
          <w:rFonts w:ascii="Arial" w:eastAsia="標楷體" w:hAnsi="Arial" w:cs="Arial"/>
          <w:b/>
          <w:spacing w:val="-2"/>
        </w:rPr>
        <w:t>(A)(B)(C)(D)</w:t>
      </w:r>
      <w:r w:rsidRPr="008D341A">
        <w:rPr>
          <w:rFonts w:ascii="Arial" w:eastAsia="標楷體" w:hAnsi="Arial" w:cs="Arial"/>
          <w:b/>
          <w:spacing w:val="-2"/>
        </w:rPr>
        <w:t>選項，本測驗為單一選擇題，請依題意選出一個正確或最適當的答案</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下列何者為最早用來衡量</w:t>
      </w:r>
      <w:proofErr w:type="gramStart"/>
      <w:r w:rsidRPr="008D341A">
        <w:rPr>
          <w:rFonts w:ascii="Arial" w:eastAsia="標楷體" w:hAnsi="Arial" w:cs="Arial"/>
        </w:rPr>
        <w:t>非攤提型</w:t>
      </w:r>
      <w:proofErr w:type="gramEnd"/>
      <w:r w:rsidRPr="008D341A">
        <w:rPr>
          <w:rFonts w:ascii="Arial" w:eastAsia="標楷體" w:hAnsi="Arial" w:cs="Arial"/>
        </w:rPr>
        <w:t>資產的提前清償行為？</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(A)</w:t>
      </w:r>
      <w:r w:rsidRPr="008D341A">
        <w:rPr>
          <w:rFonts w:ascii="Arial" w:eastAsia="標楷體" w:hAnsi="Arial" w:cs="Arial"/>
        </w:rPr>
        <w:t>條件提前清償率（</w:t>
      </w:r>
      <w:r w:rsidRPr="008D341A">
        <w:rPr>
          <w:rFonts w:ascii="Arial" w:eastAsia="標楷體" w:hAnsi="Arial" w:cs="Arial"/>
        </w:rPr>
        <w:t>CPR</w:t>
      </w:r>
      <w:r w:rsidRPr="008D341A">
        <w:rPr>
          <w:rFonts w:ascii="Arial" w:eastAsia="標楷體" w:hAnsi="Arial" w:cs="Arial"/>
        </w:rPr>
        <w:t>）</w:t>
      </w:r>
      <w:r w:rsidRPr="008D341A">
        <w:rPr>
          <w:rFonts w:ascii="Arial" w:eastAsia="標楷體" w:hAnsi="Arial" w:cs="Arial"/>
        </w:rPr>
        <w:tab/>
        <w:t>(B)</w:t>
      </w:r>
      <w:r w:rsidRPr="008D341A">
        <w:rPr>
          <w:rFonts w:ascii="Arial" w:eastAsia="標楷體" w:hAnsi="Arial" w:cs="Arial"/>
        </w:rPr>
        <w:t>月結清率（</w:t>
      </w:r>
      <w:r w:rsidRPr="008D341A">
        <w:rPr>
          <w:rFonts w:ascii="Arial" w:eastAsia="標楷體" w:hAnsi="Arial" w:cs="Arial"/>
        </w:rPr>
        <w:t>SMM</w:t>
      </w:r>
      <w:r w:rsidRPr="008D341A">
        <w:rPr>
          <w:rFonts w:ascii="Arial" w:eastAsia="標楷體" w:hAnsi="Arial" w:cs="Arial"/>
        </w:rPr>
        <w:t>）</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(C)</w:t>
      </w:r>
      <w:r w:rsidRPr="008D341A">
        <w:rPr>
          <w:rFonts w:ascii="Arial" w:eastAsia="標楷體" w:hAnsi="Arial" w:cs="Arial"/>
        </w:rPr>
        <w:t>月付率（</w:t>
      </w:r>
      <w:r w:rsidRPr="008D341A">
        <w:rPr>
          <w:rFonts w:ascii="Arial" w:eastAsia="標楷體" w:hAnsi="Arial" w:cs="Arial"/>
        </w:rPr>
        <w:t>MPR</w:t>
      </w:r>
      <w:r w:rsidRPr="008D341A">
        <w:rPr>
          <w:rFonts w:ascii="Arial" w:eastAsia="標楷體" w:hAnsi="Arial" w:cs="Arial"/>
        </w:rPr>
        <w:t>）</w:t>
      </w:r>
      <w:r w:rsidRPr="008D341A">
        <w:rPr>
          <w:rFonts w:ascii="Arial" w:eastAsia="標楷體" w:hAnsi="Arial" w:cs="Arial"/>
        </w:rPr>
        <w:tab/>
      </w:r>
      <w:r w:rsidRPr="008D341A">
        <w:rPr>
          <w:rFonts w:ascii="Arial" w:eastAsia="標楷體" w:hAnsi="Arial" w:cs="Arial"/>
        </w:rPr>
        <w:tab/>
        <w:t>(D)</w:t>
      </w:r>
      <w:r w:rsidRPr="008D341A">
        <w:rPr>
          <w:rFonts w:ascii="Arial" w:eastAsia="標楷體" w:hAnsi="Arial" w:cs="Arial"/>
        </w:rPr>
        <w:t>絕對提前清償速度（</w:t>
      </w:r>
      <w:r w:rsidRPr="008D341A">
        <w:rPr>
          <w:rFonts w:ascii="Arial" w:eastAsia="標楷體" w:hAnsi="Arial" w:cs="Arial"/>
        </w:rPr>
        <w:t>ABS</w:t>
      </w:r>
      <w:r w:rsidRPr="008D341A">
        <w:rPr>
          <w:rFonts w:ascii="Arial" w:eastAsia="標楷體" w:hAnsi="Arial" w:cs="Arial"/>
        </w:rPr>
        <w:t>）</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臺灣的金融資產證券化制度中：</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(A)</w:t>
      </w:r>
      <w:r w:rsidRPr="008D341A">
        <w:rPr>
          <w:rFonts w:ascii="Arial" w:eastAsia="標楷體" w:hAnsi="Arial" w:cs="Arial"/>
        </w:rPr>
        <w:t>不可用合夥制</w:t>
      </w:r>
      <w:r w:rsidRPr="008D341A">
        <w:rPr>
          <w:rFonts w:ascii="Arial" w:eastAsia="標楷體" w:hAnsi="Arial" w:cs="Arial"/>
        </w:rPr>
        <w:tab/>
      </w:r>
      <w:r w:rsidRPr="008D341A">
        <w:rPr>
          <w:rFonts w:ascii="Arial" w:eastAsia="標楷體" w:hAnsi="Arial" w:cs="Arial"/>
        </w:rPr>
        <w:tab/>
        <w:t>(B)</w:t>
      </w:r>
      <w:r w:rsidRPr="008D341A">
        <w:rPr>
          <w:rFonts w:ascii="Arial" w:eastAsia="標楷體" w:hAnsi="Arial" w:cs="Arial"/>
        </w:rPr>
        <w:t>不可用特殊目的公司</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(C)</w:t>
      </w:r>
      <w:r w:rsidRPr="008D341A">
        <w:rPr>
          <w:rFonts w:ascii="Arial" w:eastAsia="標楷體" w:hAnsi="Arial" w:cs="Arial"/>
        </w:rPr>
        <w:t>不可用特殊目的信託</w:t>
      </w:r>
      <w:r w:rsidRPr="008D341A">
        <w:rPr>
          <w:rFonts w:ascii="Arial" w:eastAsia="標楷體" w:hAnsi="Arial" w:cs="Arial"/>
        </w:rPr>
        <w:tab/>
      </w:r>
      <w:r>
        <w:rPr>
          <w:rFonts w:ascii="Arial" w:eastAsia="標楷體" w:hAnsi="Arial" w:cs="Arial" w:hint="eastAsia"/>
        </w:rPr>
        <w:tab/>
      </w:r>
      <w:r w:rsidRPr="008D341A">
        <w:rPr>
          <w:rFonts w:ascii="Arial" w:eastAsia="標楷體" w:hAnsi="Arial" w:cs="Arial"/>
        </w:rPr>
        <w:t>(D)</w:t>
      </w:r>
      <w:r w:rsidRPr="008D341A">
        <w:rPr>
          <w:rFonts w:ascii="Arial" w:eastAsia="標楷體" w:hAnsi="Arial" w:cs="Arial"/>
        </w:rPr>
        <w:t>以上三制都可以</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服務機構在金融資產證券化中不擔任哪一種任務？</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(A)</w:t>
      </w:r>
      <w:r w:rsidRPr="008D341A">
        <w:rPr>
          <w:rFonts w:ascii="Arial" w:eastAsia="標楷體" w:hAnsi="Arial" w:cs="Arial"/>
        </w:rPr>
        <w:t>收款</w:t>
      </w:r>
      <w:r w:rsidRPr="008D341A">
        <w:rPr>
          <w:rFonts w:ascii="Arial" w:eastAsia="標楷體" w:hAnsi="Arial" w:cs="Arial"/>
        </w:rPr>
        <w:tab/>
      </w:r>
      <w:r w:rsidRPr="008D341A">
        <w:rPr>
          <w:rFonts w:ascii="Arial" w:eastAsia="標楷體" w:hAnsi="Arial" w:cs="Arial"/>
        </w:rPr>
        <w:tab/>
        <w:t>(B)</w:t>
      </w:r>
      <w:r w:rsidRPr="008D341A">
        <w:rPr>
          <w:rFonts w:ascii="Arial" w:eastAsia="標楷體" w:hAnsi="Arial" w:cs="Arial"/>
        </w:rPr>
        <w:t>催收延遲繳款</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(C)</w:t>
      </w:r>
      <w:r w:rsidRPr="008D341A">
        <w:rPr>
          <w:rFonts w:ascii="Arial" w:eastAsia="標楷體" w:hAnsi="Arial" w:cs="Arial"/>
        </w:rPr>
        <w:t>強制執行（</w:t>
      </w:r>
      <w:r w:rsidRPr="008D341A">
        <w:rPr>
          <w:rFonts w:ascii="Arial" w:eastAsia="標楷體" w:hAnsi="Arial" w:cs="Arial"/>
        </w:rPr>
        <w:t>Foreclosure</w:t>
      </w:r>
      <w:r w:rsidRPr="008D341A">
        <w:rPr>
          <w:rFonts w:ascii="Arial" w:eastAsia="標楷體" w:hAnsi="Arial" w:cs="Arial"/>
        </w:rPr>
        <w:t>）</w:t>
      </w:r>
      <w:r w:rsidRPr="008D341A">
        <w:rPr>
          <w:rFonts w:ascii="Arial" w:eastAsia="標楷體" w:hAnsi="Arial" w:cs="Arial"/>
        </w:rPr>
        <w:tab/>
        <w:t>(D)</w:t>
      </w:r>
      <w:r w:rsidRPr="008D341A">
        <w:rPr>
          <w:rFonts w:ascii="Arial" w:eastAsia="標楷體" w:hAnsi="Arial" w:cs="Arial"/>
        </w:rPr>
        <w:t>發放本金與利息給投資人</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SBA</w:t>
      </w:r>
      <w:r w:rsidRPr="008D341A">
        <w:rPr>
          <w:rFonts w:ascii="Arial" w:eastAsia="標楷體" w:hAnsi="Arial" w:cs="Arial"/>
        </w:rPr>
        <w:t>擔保貸款的貸款期限約</w:t>
      </w:r>
      <w:r>
        <w:rPr>
          <w:rFonts w:ascii="標楷體" w:eastAsia="標楷體" w:hAnsi="標楷體" w:cs="Arial" w:hint="eastAsia"/>
        </w:rPr>
        <w:t>：</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(A)</w:t>
      </w:r>
      <w:r w:rsidRPr="008D341A">
        <w:rPr>
          <w:rFonts w:ascii="Arial" w:eastAsia="標楷體" w:hAnsi="Arial" w:cs="Arial"/>
        </w:rPr>
        <w:t>主要小於一年</w:t>
      </w:r>
      <w:r w:rsidRPr="008D341A">
        <w:rPr>
          <w:rFonts w:ascii="Arial" w:eastAsia="標楷體" w:hAnsi="Arial" w:cs="Arial"/>
        </w:rPr>
        <w:tab/>
      </w:r>
      <w:r w:rsidRPr="008D341A">
        <w:rPr>
          <w:rFonts w:ascii="Arial" w:eastAsia="標楷體" w:hAnsi="Arial" w:cs="Arial"/>
        </w:rPr>
        <w:tab/>
        <w:t>(B)2</w:t>
      </w:r>
      <w:r w:rsidRPr="008D341A">
        <w:rPr>
          <w:rFonts w:ascii="Arial" w:eastAsia="標楷體" w:hAnsi="Arial" w:cs="Arial"/>
        </w:rPr>
        <w:t>～</w:t>
      </w:r>
      <w:r w:rsidRPr="008D341A">
        <w:rPr>
          <w:rFonts w:ascii="Arial" w:eastAsia="標楷體" w:hAnsi="Arial" w:cs="Arial"/>
        </w:rPr>
        <w:t>6</w:t>
      </w:r>
      <w:r w:rsidRPr="008D341A">
        <w:rPr>
          <w:rFonts w:ascii="Arial" w:eastAsia="標楷體" w:hAnsi="Arial" w:cs="Arial"/>
        </w:rPr>
        <w:t>年</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(C)7</w:t>
      </w:r>
      <w:r w:rsidRPr="008D341A">
        <w:rPr>
          <w:rFonts w:ascii="Arial" w:eastAsia="標楷體" w:hAnsi="Arial" w:cs="Arial"/>
        </w:rPr>
        <w:t>～</w:t>
      </w:r>
      <w:r w:rsidRPr="008D341A">
        <w:rPr>
          <w:rFonts w:ascii="Arial" w:eastAsia="標楷體" w:hAnsi="Arial" w:cs="Arial"/>
        </w:rPr>
        <w:t>25</w:t>
      </w:r>
      <w:r w:rsidRPr="008D341A">
        <w:rPr>
          <w:rFonts w:ascii="Arial" w:eastAsia="標楷體" w:hAnsi="Arial" w:cs="Arial"/>
        </w:rPr>
        <w:t>年</w:t>
      </w:r>
      <w:r w:rsidRPr="008D341A">
        <w:rPr>
          <w:rFonts w:ascii="Arial" w:eastAsia="標楷體" w:hAnsi="Arial" w:cs="Arial"/>
        </w:rPr>
        <w:tab/>
      </w:r>
      <w:r w:rsidRPr="008D341A">
        <w:rPr>
          <w:rFonts w:ascii="Arial" w:eastAsia="標楷體" w:hAnsi="Arial" w:cs="Arial"/>
        </w:rPr>
        <w:tab/>
        <w:t>(D)</w:t>
      </w:r>
      <w:r w:rsidRPr="008D341A">
        <w:rPr>
          <w:rFonts w:ascii="Arial" w:eastAsia="標楷體" w:hAnsi="Arial" w:cs="Arial"/>
        </w:rPr>
        <w:t>需由受託機構決定</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推行證券化可為一個國家帶來好處，下列何者並非好處之</w:t>
      </w:r>
      <w:proofErr w:type="gramStart"/>
      <w:r w:rsidRPr="008D341A">
        <w:rPr>
          <w:rFonts w:ascii="Arial" w:eastAsia="標楷體" w:hAnsi="Arial" w:cs="Arial"/>
        </w:rPr>
        <w:t>一</w:t>
      </w:r>
      <w:proofErr w:type="gramEnd"/>
      <w:r w:rsidRPr="008D341A">
        <w:rPr>
          <w:rFonts w:ascii="Arial" w:eastAsia="標楷體" w:hAnsi="Arial" w:cs="Arial"/>
        </w:rPr>
        <w:t>？</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(A)</w:t>
      </w:r>
      <w:r w:rsidRPr="008D341A">
        <w:rPr>
          <w:rFonts w:ascii="Arial" w:eastAsia="標楷體" w:hAnsi="Arial" w:cs="Arial"/>
        </w:rPr>
        <w:t>降低標的資產之風險</w:t>
      </w:r>
      <w:r w:rsidRPr="008D341A">
        <w:rPr>
          <w:rFonts w:ascii="Arial" w:eastAsia="標楷體" w:hAnsi="Arial" w:cs="Arial"/>
        </w:rPr>
        <w:tab/>
      </w:r>
      <w:r>
        <w:rPr>
          <w:rFonts w:ascii="Arial" w:eastAsia="標楷體" w:hAnsi="Arial" w:cs="Arial" w:hint="eastAsia"/>
        </w:rPr>
        <w:tab/>
      </w:r>
      <w:r w:rsidRPr="008D341A">
        <w:rPr>
          <w:rFonts w:ascii="Arial" w:eastAsia="標楷體" w:hAnsi="Arial" w:cs="Arial"/>
        </w:rPr>
        <w:t>(B)</w:t>
      </w:r>
      <w:r w:rsidRPr="008D341A">
        <w:rPr>
          <w:rFonts w:ascii="Arial" w:eastAsia="標楷體" w:hAnsi="Arial" w:cs="Arial"/>
        </w:rPr>
        <w:t>促進資本市場的發展</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(C)</w:t>
      </w:r>
      <w:r w:rsidRPr="008D341A">
        <w:rPr>
          <w:rFonts w:ascii="Arial" w:eastAsia="標楷體" w:hAnsi="Arial" w:cs="Arial"/>
        </w:rPr>
        <w:t>增加金融體系的健全</w:t>
      </w:r>
      <w:r w:rsidRPr="008D341A">
        <w:rPr>
          <w:rFonts w:ascii="Arial" w:eastAsia="標楷體" w:hAnsi="Arial" w:cs="Arial"/>
        </w:rPr>
        <w:tab/>
        <w:t>(D)</w:t>
      </w:r>
      <w:r w:rsidRPr="008D341A">
        <w:rPr>
          <w:rFonts w:ascii="Arial" w:eastAsia="標楷體" w:hAnsi="Arial" w:cs="Arial"/>
        </w:rPr>
        <w:t>刺激住者有其屋的政策</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下列何者屬於資產擔保證券中的內部信用加強機制？</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(A)</w:t>
      </w:r>
      <w:r w:rsidRPr="008D341A">
        <w:rPr>
          <w:rFonts w:ascii="Arial" w:eastAsia="標楷體" w:hAnsi="Arial" w:cs="Arial"/>
        </w:rPr>
        <w:t>利差帳戶</w:t>
      </w:r>
      <w:r w:rsidRPr="008D341A">
        <w:rPr>
          <w:rFonts w:ascii="Arial" w:eastAsia="標楷體" w:hAnsi="Arial" w:cs="Arial"/>
        </w:rPr>
        <w:tab/>
      </w:r>
      <w:r w:rsidRPr="008D341A">
        <w:rPr>
          <w:rFonts w:ascii="Arial" w:eastAsia="標楷體" w:hAnsi="Arial" w:cs="Arial"/>
        </w:rPr>
        <w:tab/>
        <w:t>(B)</w:t>
      </w:r>
      <w:r w:rsidRPr="008D341A">
        <w:rPr>
          <w:rFonts w:ascii="Arial" w:eastAsia="標楷體" w:hAnsi="Arial" w:cs="Arial"/>
        </w:rPr>
        <w:t>超額擔保</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(C)</w:t>
      </w:r>
      <w:r w:rsidRPr="008D341A">
        <w:rPr>
          <w:rFonts w:ascii="Arial" w:eastAsia="標楷體" w:hAnsi="Arial" w:cs="Arial"/>
        </w:rPr>
        <w:t>附擔保投資額</w:t>
      </w:r>
      <w:r w:rsidRPr="008D341A">
        <w:rPr>
          <w:rFonts w:ascii="Arial" w:eastAsia="標楷體" w:hAnsi="Arial" w:cs="Arial"/>
        </w:rPr>
        <w:tab/>
      </w:r>
      <w:r w:rsidRPr="008D341A">
        <w:rPr>
          <w:rFonts w:ascii="Arial" w:eastAsia="標楷體" w:hAnsi="Arial" w:cs="Arial"/>
        </w:rPr>
        <w:tab/>
        <w:t>(D)</w:t>
      </w:r>
      <w:r w:rsidRPr="008D341A">
        <w:rPr>
          <w:rFonts w:ascii="Arial" w:eastAsia="標楷體" w:hAnsi="Arial" w:cs="Arial"/>
        </w:rPr>
        <w:t>選項</w:t>
      </w:r>
      <w:r w:rsidRPr="008D341A">
        <w:rPr>
          <w:rFonts w:ascii="Arial" w:eastAsia="標楷體" w:hAnsi="Arial" w:cs="Arial"/>
        </w:rPr>
        <w:t>(A)</w:t>
      </w:r>
      <w:r>
        <w:rPr>
          <w:rFonts w:ascii="標楷體" w:eastAsia="標楷體" w:hAnsi="標楷體" w:cs="Arial" w:hint="eastAsia"/>
        </w:rPr>
        <w:t>、</w:t>
      </w:r>
      <w:r w:rsidRPr="008D341A">
        <w:rPr>
          <w:rFonts w:ascii="Arial" w:eastAsia="標楷體" w:hAnsi="Arial" w:cs="Arial"/>
        </w:rPr>
        <w:t>(B)</w:t>
      </w:r>
      <w:r>
        <w:rPr>
          <w:rFonts w:ascii="標楷體" w:eastAsia="標楷體" w:hAnsi="標楷體" w:cs="Arial" w:hint="eastAsia"/>
        </w:rPr>
        <w:t>、</w:t>
      </w:r>
      <w:r w:rsidRPr="008D341A">
        <w:rPr>
          <w:rFonts w:ascii="Arial" w:eastAsia="標楷體" w:hAnsi="Arial" w:cs="Arial"/>
        </w:rPr>
        <w:t>(C)</w:t>
      </w:r>
      <w:r w:rsidRPr="008D341A">
        <w:rPr>
          <w:rFonts w:ascii="Arial" w:eastAsia="標楷體" w:hAnsi="Arial" w:cs="Arial"/>
        </w:rPr>
        <w:t>皆是</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下列何者不是促成健康保險應收帳款證券化崛起之原因？</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(A)</w:t>
      </w:r>
      <w:r w:rsidRPr="008D341A">
        <w:rPr>
          <w:rFonts w:ascii="Arial" w:eastAsia="標楷體" w:hAnsi="Arial" w:cs="Arial"/>
        </w:rPr>
        <w:t>醫療機構的收入銳減</w:t>
      </w:r>
      <w:r w:rsidRPr="008D341A">
        <w:rPr>
          <w:rFonts w:ascii="Arial" w:eastAsia="標楷體" w:hAnsi="Arial" w:cs="Arial"/>
        </w:rPr>
        <w:tab/>
        <w:t>(B)</w:t>
      </w:r>
      <w:r w:rsidRPr="008D341A">
        <w:rPr>
          <w:rFonts w:ascii="Arial" w:eastAsia="標楷體" w:hAnsi="Arial" w:cs="Arial"/>
        </w:rPr>
        <w:t>醫療機構之成本高漲</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(C)</w:t>
      </w:r>
      <w:r w:rsidRPr="008D341A">
        <w:rPr>
          <w:rFonts w:ascii="Arial" w:eastAsia="標楷體" w:hAnsi="Arial" w:cs="Arial"/>
        </w:rPr>
        <w:t>美國政府的保證</w:t>
      </w:r>
      <w:r w:rsidRPr="008D341A">
        <w:rPr>
          <w:rFonts w:ascii="Arial" w:eastAsia="標楷體" w:hAnsi="Arial" w:cs="Arial"/>
        </w:rPr>
        <w:tab/>
      </w:r>
      <w:r w:rsidRPr="008D341A">
        <w:rPr>
          <w:rFonts w:ascii="Arial" w:eastAsia="標楷體" w:hAnsi="Arial" w:cs="Arial"/>
        </w:rPr>
        <w:tab/>
        <w:t>(D)</w:t>
      </w:r>
      <w:r w:rsidRPr="008D341A">
        <w:rPr>
          <w:rFonts w:ascii="Arial" w:eastAsia="標楷體" w:hAnsi="Arial" w:cs="Arial"/>
        </w:rPr>
        <w:t>醫療機構之信用評等越來越低</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違約與提前清償之間通常存在著何種關係？</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(A)</w:t>
      </w:r>
      <w:r w:rsidRPr="008D341A">
        <w:rPr>
          <w:rFonts w:ascii="Arial" w:eastAsia="標楷體" w:hAnsi="Arial" w:cs="Arial"/>
        </w:rPr>
        <w:t>互補作用</w:t>
      </w:r>
      <w:r w:rsidRPr="008D341A">
        <w:rPr>
          <w:rFonts w:ascii="Arial" w:eastAsia="標楷體" w:hAnsi="Arial" w:cs="Arial"/>
        </w:rPr>
        <w:tab/>
      </w:r>
      <w:r w:rsidRPr="008D341A">
        <w:rPr>
          <w:rFonts w:ascii="Arial" w:eastAsia="標楷體" w:hAnsi="Arial" w:cs="Arial"/>
        </w:rPr>
        <w:tab/>
        <w:t>(B)</w:t>
      </w:r>
      <w:r w:rsidRPr="008D341A">
        <w:rPr>
          <w:rFonts w:ascii="Arial" w:eastAsia="標楷體" w:hAnsi="Arial" w:cs="Arial"/>
        </w:rPr>
        <w:t>排斥作用</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(C)</w:t>
      </w:r>
      <w:r w:rsidRPr="008D341A">
        <w:rPr>
          <w:rFonts w:ascii="Arial" w:eastAsia="標楷體" w:hAnsi="Arial" w:cs="Arial"/>
        </w:rPr>
        <w:t>倍數作用</w:t>
      </w:r>
      <w:r w:rsidRPr="008D341A">
        <w:rPr>
          <w:rFonts w:ascii="Arial" w:eastAsia="標楷體" w:hAnsi="Arial" w:cs="Arial"/>
        </w:rPr>
        <w:tab/>
      </w:r>
      <w:r w:rsidRPr="008D341A">
        <w:rPr>
          <w:rFonts w:ascii="Arial" w:eastAsia="標楷體" w:hAnsi="Arial" w:cs="Arial"/>
        </w:rPr>
        <w:tab/>
        <w:t>(D)</w:t>
      </w:r>
      <w:r w:rsidRPr="008D341A">
        <w:rPr>
          <w:rFonts w:ascii="Arial" w:eastAsia="標楷體" w:hAnsi="Arial" w:cs="Arial"/>
        </w:rPr>
        <w:t>乘數作用</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關於美國小型企業署（</w:t>
      </w:r>
      <w:r w:rsidRPr="008D341A">
        <w:rPr>
          <w:rFonts w:ascii="Arial" w:eastAsia="標楷體" w:hAnsi="Arial" w:cs="Arial"/>
        </w:rPr>
        <w:t>SBA</w:t>
      </w:r>
      <w:r w:rsidRPr="008D341A">
        <w:rPr>
          <w:rFonts w:ascii="Arial" w:eastAsia="標楷體" w:hAnsi="Arial" w:cs="Arial"/>
        </w:rPr>
        <w:t>）貸款證券的投資者，下列何者為非？</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(A)</w:t>
      </w:r>
      <w:r w:rsidRPr="008D341A">
        <w:rPr>
          <w:rFonts w:ascii="Arial" w:eastAsia="標楷體" w:hAnsi="Arial" w:cs="Arial"/>
        </w:rPr>
        <w:t>期望長期投資的市場投資者</w:t>
      </w:r>
      <w:r w:rsidRPr="008D341A">
        <w:rPr>
          <w:rFonts w:ascii="Arial" w:eastAsia="標楷體" w:hAnsi="Arial" w:cs="Arial"/>
        </w:rPr>
        <w:tab/>
        <w:t>(B)</w:t>
      </w:r>
      <w:r w:rsidRPr="008D341A">
        <w:rPr>
          <w:rFonts w:ascii="Arial" w:eastAsia="標楷體" w:hAnsi="Arial" w:cs="Arial"/>
        </w:rPr>
        <w:t>退撫基金</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(C)</w:t>
      </w:r>
      <w:r w:rsidRPr="008D341A">
        <w:rPr>
          <w:rFonts w:ascii="Arial" w:eastAsia="標楷體" w:hAnsi="Arial" w:cs="Arial"/>
        </w:rPr>
        <w:t>期望短期且高報酬的市場投資者</w:t>
      </w:r>
      <w:r w:rsidRPr="008D341A">
        <w:rPr>
          <w:rFonts w:ascii="Arial" w:eastAsia="標楷體" w:hAnsi="Arial" w:cs="Arial"/>
        </w:rPr>
        <w:tab/>
        <w:t>(D)</w:t>
      </w:r>
      <w:r w:rsidRPr="008D341A">
        <w:rPr>
          <w:rFonts w:ascii="Arial" w:eastAsia="標楷體" w:hAnsi="Arial" w:cs="Arial"/>
        </w:rPr>
        <w:t>投資標的為低風險的共同基金</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評等機構各別貸款的必要信用增強程度是以何者為依據？</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(A)</w:t>
      </w:r>
      <w:r w:rsidRPr="008D341A">
        <w:rPr>
          <w:rFonts w:ascii="Arial" w:eastAsia="標楷體" w:hAnsi="Arial" w:cs="Arial"/>
        </w:rPr>
        <w:t>違約機率＋違約損失率</w:t>
      </w:r>
      <w:r w:rsidRPr="008D341A">
        <w:rPr>
          <w:rFonts w:ascii="Arial" w:eastAsia="標楷體" w:hAnsi="Arial" w:cs="Arial"/>
        </w:rPr>
        <w:tab/>
        <w:t>(B)</w:t>
      </w:r>
      <w:r w:rsidRPr="008D341A">
        <w:rPr>
          <w:rFonts w:ascii="Arial" w:eastAsia="標楷體" w:hAnsi="Arial" w:cs="Arial"/>
        </w:rPr>
        <w:t>違約機率－違約損失率</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(C)</w:t>
      </w:r>
      <w:r w:rsidRPr="008D341A">
        <w:rPr>
          <w:rFonts w:ascii="Arial" w:eastAsia="標楷體" w:hAnsi="Arial" w:cs="Arial"/>
        </w:rPr>
        <w:t>違約機率</w:t>
      </w:r>
      <w:r w:rsidRPr="008D341A">
        <w:rPr>
          <w:rFonts w:ascii="Arial" w:eastAsia="標楷體" w:hAnsi="Arial" w:cs="Arial"/>
        </w:rPr>
        <w:sym w:font="Wingdings 2" w:char="F0CD"/>
      </w:r>
      <w:r w:rsidRPr="008D341A">
        <w:rPr>
          <w:rFonts w:ascii="Arial" w:eastAsia="標楷體" w:hAnsi="Arial" w:cs="Arial"/>
        </w:rPr>
        <w:t>違約損失率</w:t>
      </w:r>
      <w:r w:rsidRPr="008D341A">
        <w:rPr>
          <w:rFonts w:ascii="Arial" w:eastAsia="標楷體" w:hAnsi="Arial" w:cs="Arial"/>
        </w:rPr>
        <w:tab/>
        <w:t>(D)</w:t>
      </w:r>
      <w:r w:rsidRPr="008D341A">
        <w:rPr>
          <w:rFonts w:ascii="Arial" w:eastAsia="標楷體" w:hAnsi="Arial" w:cs="Arial"/>
        </w:rPr>
        <w:t>違約機率／違約損失率</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投資證券化商品與公司債的差異在於</w:t>
      </w:r>
      <w:r>
        <w:rPr>
          <w:rFonts w:ascii="標楷體" w:eastAsia="標楷體" w:hAnsi="標楷體" w:cs="Arial" w:hint="eastAsia"/>
        </w:rPr>
        <w:t>：</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(A)</w:t>
      </w:r>
      <w:r w:rsidRPr="008D341A">
        <w:rPr>
          <w:rFonts w:ascii="Arial" w:eastAsia="標楷體" w:hAnsi="Arial" w:cs="Arial"/>
        </w:rPr>
        <w:t>證券化較注重資產品質</w:t>
      </w:r>
      <w:r w:rsidRPr="008D341A">
        <w:rPr>
          <w:rFonts w:ascii="Arial" w:eastAsia="標楷體" w:hAnsi="Arial" w:cs="Arial"/>
        </w:rPr>
        <w:tab/>
        <w:t>(B)</w:t>
      </w:r>
      <w:r w:rsidRPr="008D341A">
        <w:rPr>
          <w:rFonts w:ascii="Arial" w:eastAsia="標楷體" w:hAnsi="Arial" w:cs="Arial"/>
        </w:rPr>
        <w:t>公司債較注重發行人償債能力</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(C)</w:t>
      </w:r>
      <w:proofErr w:type="gramStart"/>
      <w:r w:rsidRPr="008D341A">
        <w:rPr>
          <w:rFonts w:ascii="Arial" w:eastAsia="標楷體" w:hAnsi="Arial" w:cs="Arial"/>
        </w:rPr>
        <w:t>兩者均有違約</w:t>
      </w:r>
      <w:proofErr w:type="gramEnd"/>
      <w:r w:rsidRPr="008D341A">
        <w:rPr>
          <w:rFonts w:ascii="Arial" w:eastAsia="標楷體" w:hAnsi="Arial" w:cs="Arial"/>
        </w:rPr>
        <w:t>風險</w:t>
      </w:r>
      <w:r w:rsidRPr="008D341A">
        <w:rPr>
          <w:rFonts w:ascii="Arial" w:eastAsia="標楷體" w:hAnsi="Arial" w:cs="Arial"/>
        </w:rPr>
        <w:tab/>
      </w:r>
      <w:r w:rsidRPr="008D341A">
        <w:rPr>
          <w:rFonts w:ascii="Arial" w:eastAsia="標楷體" w:hAnsi="Arial" w:cs="Arial"/>
        </w:rPr>
        <w:tab/>
        <w:t>(D)</w:t>
      </w:r>
      <w:r w:rsidRPr="008D341A">
        <w:rPr>
          <w:rFonts w:ascii="Arial" w:eastAsia="標楷體" w:hAnsi="Arial" w:cs="Arial"/>
        </w:rPr>
        <w:t>選項</w:t>
      </w:r>
      <w:r w:rsidRPr="008D341A">
        <w:rPr>
          <w:rFonts w:ascii="Arial" w:eastAsia="標楷體" w:hAnsi="Arial" w:cs="Arial"/>
        </w:rPr>
        <w:t>(A)</w:t>
      </w:r>
      <w:r>
        <w:rPr>
          <w:rFonts w:ascii="標楷體" w:eastAsia="標楷體" w:hAnsi="標楷體" w:cs="Arial" w:hint="eastAsia"/>
        </w:rPr>
        <w:t>、</w:t>
      </w:r>
      <w:r w:rsidRPr="008D341A">
        <w:rPr>
          <w:rFonts w:ascii="Arial" w:eastAsia="標楷體" w:hAnsi="Arial" w:cs="Arial"/>
        </w:rPr>
        <w:t>(B)</w:t>
      </w:r>
      <w:r>
        <w:rPr>
          <w:rFonts w:ascii="標楷體" w:eastAsia="標楷體" w:hAnsi="標楷體" w:cs="Arial" w:hint="eastAsia"/>
        </w:rPr>
        <w:t>、</w:t>
      </w:r>
      <w:r w:rsidRPr="008D341A">
        <w:rPr>
          <w:rFonts w:ascii="Arial" w:eastAsia="標楷體" w:hAnsi="Arial" w:cs="Arial"/>
        </w:rPr>
        <w:t>(C)</w:t>
      </w:r>
      <w:r w:rsidRPr="008D341A">
        <w:rPr>
          <w:rFonts w:ascii="Arial" w:eastAsia="標楷體" w:hAnsi="Arial" w:cs="Arial"/>
        </w:rPr>
        <w:t>皆是</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證券化架構中，設置特殊目的機構（</w:t>
      </w:r>
      <w:r w:rsidRPr="008D341A">
        <w:rPr>
          <w:rFonts w:ascii="Arial" w:eastAsia="標楷體" w:hAnsi="Arial" w:cs="Arial"/>
        </w:rPr>
        <w:t>Special Purpose Vehicle</w:t>
      </w:r>
      <w:r w:rsidRPr="008D341A">
        <w:rPr>
          <w:rFonts w:ascii="Arial" w:eastAsia="標楷體" w:hAnsi="Arial" w:cs="Arial"/>
        </w:rPr>
        <w:t>）的功能在於</w:t>
      </w:r>
      <w:r>
        <w:rPr>
          <w:rFonts w:ascii="標楷體" w:eastAsia="標楷體" w:hAnsi="標楷體" w:cs="Arial" w:hint="eastAsia"/>
        </w:rPr>
        <w:t>：</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(A)</w:t>
      </w:r>
      <w:r w:rsidRPr="008D341A">
        <w:rPr>
          <w:rFonts w:ascii="Arial" w:eastAsia="標楷體" w:hAnsi="Arial" w:cs="Arial"/>
        </w:rPr>
        <w:t>破產隔離</w:t>
      </w:r>
      <w:r w:rsidRPr="008D341A">
        <w:rPr>
          <w:rFonts w:ascii="Arial" w:eastAsia="標楷體" w:hAnsi="Arial" w:cs="Arial"/>
        </w:rPr>
        <w:tab/>
        <w:t>(B)</w:t>
      </w:r>
      <w:r w:rsidRPr="008D341A">
        <w:rPr>
          <w:rFonts w:ascii="Arial" w:eastAsia="標楷體" w:hAnsi="Arial" w:cs="Arial"/>
        </w:rPr>
        <w:t>破產保護</w:t>
      </w:r>
      <w:r w:rsidRPr="008D341A">
        <w:rPr>
          <w:rFonts w:ascii="Arial" w:eastAsia="標楷體" w:hAnsi="Arial" w:cs="Arial"/>
        </w:rPr>
        <w:tab/>
        <w:t>(C)</w:t>
      </w:r>
      <w:r w:rsidRPr="008D341A">
        <w:rPr>
          <w:rFonts w:ascii="Arial" w:eastAsia="標楷體" w:hAnsi="Arial" w:cs="Arial"/>
        </w:rPr>
        <w:t>破產重組</w:t>
      </w:r>
      <w:r w:rsidRPr="008D341A">
        <w:rPr>
          <w:rFonts w:ascii="Arial" w:eastAsia="標楷體" w:hAnsi="Arial" w:cs="Arial"/>
        </w:rPr>
        <w:tab/>
        <w:t>(D)</w:t>
      </w:r>
      <w:r w:rsidRPr="008D341A">
        <w:rPr>
          <w:rFonts w:ascii="Arial" w:eastAsia="標楷體" w:hAnsi="Arial" w:cs="Arial"/>
        </w:rPr>
        <w:t>破產請求</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證券化商品還本付息的主要來源為何？</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(A)</w:t>
      </w:r>
      <w:r w:rsidRPr="008D341A">
        <w:rPr>
          <w:rFonts w:ascii="Arial" w:eastAsia="標楷體" w:hAnsi="Arial" w:cs="Arial"/>
        </w:rPr>
        <w:t>標的資產產生的現金流量</w:t>
      </w:r>
      <w:r w:rsidRPr="008D341A">
        <w:rPr>
          <w:rFonts w:ascii="Arial" w:eastAsia="標楷體" w:hAnsi="Arial" w:cs="Arial"/>
        </w:rPr>
        <w:t xml:space="preserve"> </w:t>
      </w:r>
      <w:r w:rsidRPr="008D341A">
        <w:rPr>
          <w:rFonts w:ascii="Arial" w:eastAsia="標楷體" w:hAnsi="Arial" w:cs="Arial"/>
        </w:rPr>
        <w:tab/>
        <w:t>(B)</w:t>
      </w:r>
      <w:r w:rsidRPr="008D341A">
        <w:rPr>
          <w:rFonts w:ascii="Arial" w:eastAsia="標楷體" w:hAnsi="Arial" w:cs="Arial"/>
        </w:rPr>
        <w:t>創始機構的還款</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(C)</w:t>
      </w:r>
      <w:r w:rsidRPr="008D341A">
        <w:rPr>
          <w:rFonts w:ascii="Arial" w:eastAsia="標楷體" w:hAnsi="Arial" w:cs="Arial"/>
        </w:rPr>
        <w:t>受託機構的還款</w:t>
      </w:r>
      <w:r w:rsidRPr="008D341A">
        <w:rPr>
          <w:rFonts w:ascii="Arial" w:eastAsia="標楷體" w:hAnsi="Arial" w:cs="Arial"/>
        </w:rPr>
        <w:tab/>
      </w:r>
      <w:r w:rsidRPr="008D341A">
        <w:rPr>
          <w:rFonts w:ascii="Arial" w:eastAsia="標楷體" w:hAnsi="Arial" w:cs="Arial"/>
        </w:rPr>
        <w:tab/>
        <w:t>(D)</w:t>
      </w:r>
      <w:r w:rsidRPr="008D341A">
        <w:rPr>
          <w:rFonts w:ascii="Arial" w:eastAsia="標楷體" w:hAnsi="Arial" w:cs="Arial"/>
        </w:rPr>
        <w:t>服務機構的還款</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lastRenderedPageBreak/>
        <w:t>實務上，證券化的服務機構通常由何種機構擔任？</w:t>
      </w:r>
      <w:r w:rsidRPr="008D341A">
        <w:rPr>
          <w:rFonts w:ascii="Arial" w:eastAsia="標楷體" w:hAnsi="Arial" w:cs="Arial"/>
        </w:rPr>
        <w:t xml:space="preserve"> </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(A)</w:t>
      </w:r>
      <w:r w:rsidRPr="008D341A">
        <w:rPr>
          <w:rFonts w:ascii="Arial" w:eastAsia="標楷體" w:hAnsi="Arial" w:cs="Arial"/>
        </w:rPr>
        <w:t>受託機構</w:t>
      </w:r>
      <w:r w:rsidRPr="008D341A">
        <w:rPr>
          <w:rFonts w:ascii="Arial" w:eastAsia="標楷體" w:hAnsi="Arial" w:cs="Arial"/>
        </w:rPr>
        <w:tab/>
        <w:t>(B)</w:t>
      </w:r>
      <w:r w:rsidRPr="008D341A">
        <w:rPr>
          <w:rFonts w:ascii="Arial" w:eastAsia="標楷體" w:hAnsi="Arial" w:cs="Arial"/>
        </w:rPr>
        <w:t>創始機構</w:t>
      </w:r>
      <w:r w:rsidRPr="008D341A">
        <w:rPr>
          <w:rFonts w:ascii="Arial" w:eastAsia="標楷體" w:hAnsi="Arial" w:cs="Arial"/>
        </w:rPr>
        <w:tab/>
        <w:t>(C)</w:t>
      </w:r>
      <w:r w:rsidRPr="008D341A">
        <w:rPr>
          <w:rFonts w:ascii="Arial" w:eastAsia="標楷體" w:hAnsi="Arial" w:cs="Arial"/>
        </w:rPr>
        <w:t>銷售機構</w:t>
      </w:r>
      <w:r w:rsidRPr="008D341A">
        <w:rPr>
          <w:rFonts w:ascii="Arial" w:eastAsia="標楷體" w:hAnsi="Arial" w:cs="Arial"/>
        </w:rPr>
        <w:tab/>
        <w:t>(D)</w:t>
      </w:r>
      <w:r w:rsidRPr="008D341A">
        <w:rPr>
          <w:rFonts w:ascii="Arial" w:eastAsia="標楷體" w:hAnsi="Arial" w:cs="Arial"/>
        </w:rPr>
        <w:t>資產管理人</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為達到信用增強的目的，創始機構通常會持有證券化商品的哪一個</w:t>
      </w:r>
      <w:proofErr w:type="gramStart"/>
      <w:r w:rsidRPr="008D341A">
        <w:rPr>
          <w:rFonts w:ascii="Arial" w:eastAsia="標楷體" w:hAnsi="Arial" w:cs="Arial"/>
        </w:rPr>
        <w:t>券</w:t>
      </w:r>
      <w:proofErr w:type="gramEnd"/>
      <w:r w:rsidRPr="008D341A">
        <w:rPr>
          <w:rFonts w:ascii="Arial" w:eastAsia="標楷體" w:hAnsi="Arial" w:cs="Arial"/>
        </w:rPr>
        <w:t>次？</w:t>
      </w:r>
      <w:r w:rsidRPr="008D341A">
        <w:rPr>
          <w:rFonts w:ascii="Arial" w:eastAsia="標楷體" w:hAnsi="Arial" w:cs="Arial"/>
        </w:rPr>
        <w:t xml:space="preserve"> </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(A)</w:t>
      </w:r>
      <w:r w:rsidRPr="008D341A">
        <w:rPr>
          <w:rFonts w:ascii="Arial" w:eastAsia="標楷體" w:hAnsi="Arial" w:cs="Arial"/>
        </w:rPr>
        <w:t>優先順位</w:t>
      </w:r>
      <w:r w:rsidRPr="008D341A">
        <w:rPr>
          <w:rFonts w:ascii="Arial" w:eastAsia="標楷體" w:hAnsi="Arial" w:cs="Arial"/>
        </w:rPr>
        <w:tab/>
        <w:t>(B)</w:t>
      </w:r>
      <w:r w:rsidRPr="008D341A">
        <w:rPr>
          <w:rFonts w:ascii="Arial" w:eastAsia="標楷體" w:hAnsi="Arial" w:cs="Arial"/>
        </w:rPr>
        <w:t>中間順位</w:t>
      </w:r>
      <w:r w:rsidRPr="008D341A">
        <w:rPr>
          <w:rFonts w:ascii="Arial" w:eastAsia="標楷體" w:hAnsi="Arial" w:cs="Arial"/>
        </w:rPr>
        <w:tab/>
        <w:t>(C)</w:t>
      </w:r>
      <w:r w:rsidRPr="008D341A">
        <w:rPr>
          <w:rFonts w:ascii="Arial" w:eastAsia="標楷體" w:hAnsi="Arial" w:cs="Arial"/>
        </w:rPr>
        <w:t>次順位</w:t>
      </w:r>
      <w:r w:rsidRPr="008D341A">
        <w:rPr>
          <w:rFonts w:ascii="Arial" w:eastAsia="標楷體" w:hAnsi="Arial" w:cs="Arial"/>
        </w:rPr>
        <w:tab/>
        <w:t>(D)</w:t>
      </w:r>
      <w:r w:rsidRPr="008D341A">
        <w:rPr>
          <w:rFonts w:ascii="Arial" w:eastAsia="標楷體" w:hAnsi="Arial" w:cs="Arial"/>
        </w:rPr>
        <w:t>均</w:t>
      </w:r>
      <w:proofErr w:type="gramStart"/>
      <w:r w:rsidRPr="008D341A">
        <w:rPr>
          <w:rFonts w:ascii="Arial" w:eastAsia="標楷體" w:hAnsi="Arial" w:cs="Arial"/>
        </w:rPr>
        <w:t>不</w:t>
      </w:r>
      <w:proofErr w:type="gramEnd"/>
      <w:r w:rsidRPr="008D341A">
        <w:rPr>
          <w:rFonts w:ascii="Arial" w:eastAsia="標楷體" w:hAnsi="Arial" w:cs="Arial"/>
        </w:rPr>
        <w:t>持有</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下列何種證券化商品較不會以設計「優先／次順位證券」作為其信用增強的方式？</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(A)</w:t>
      </w:r>
      <w:r w:rsidRPr="008D341A">
        <w:rPr>
          <w:rFonts w:ascii="Arial" w:eastAsia="標楷體" w:hAnsi="Arial" w:cs="Arial"/>
        </w:rPr>
        <w:t>住宅抵押貸款證券</w:t>
      </w:r>
      <w:r w:rsidRPr="008D341A">
        <w:rPr>
          <w:rFonts w:ascii="Arial" w:eastAsia="標楷體" w:hAnsi="Arial" w:cs="Arial"/>
        </w:rPr>
        <w:tab/>
      </w:r>
      <w:r w:rsidRPr="008D341A">
        <w:rPr>
          <w:rFonts w:ascii="Arial" w:eastAsia="標楷體" w:hAnsi="Arial" w:cs="Arial"/>
        </w:rPr>
        <w:tab/>
        <w:t>(B)</w:t>
      </w:r>
      <w:r w:rsidRPr="008D341A">
        <w:rPr>
          <w:rFonts w:ascii="Arial" w:eastAsia="標楷體" w:hAnsi="Arial" w:cs="Arial"/>
        </w:rPr>
        <w:t>不動產投資信託證券</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(C)</w:t>
      </w:r>
      <w:r w:rsidRPr="008D341A">
        <w:rPr>
          <w:rFonts w:ascii="Arial" w:eastAsia="標楷體" w:hAnsi="Arial" w:cs="Arial"/>
        </w:rPr>
        <w:t>信用卡貸款債權證券</w:t>
      </w:r>
      <w:r w:rsidRPr="008D341A">
        <w:rPr>
          <w:rFonts w:ascii="Arial" w:eastAsia="標楷體" w:hAnsi="Arial" w:cs="Arial"/>
        </w:rPr>
        <w:tab/>
        <w:t>(D)</w:t>
      </w:r>
      <w:r w:rsidRPr="008D341A">
        <w:rPr>
          <w:rFonts w:ascii="Arial" w:eastAsia="標楷體" w:hAnsi="Arial" w:cs="Arial"/>
        </w:rPr>
        <w:t>商業不動產抵押貸款證券</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信用卡債權證券化因標的資產期限較短，如以轉付證券架構發行，何種風險對投資人有較大的影響？</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(A)</w:t>
      </w:r>
      <w:r w:rsidRPr="008D341A">
        <w:rPr>
          <w:rFonts w:ascii="Arial" w:eastAsia="標楷體" w:hAnsi="Arial" w:cs="Arial"/>
        </w:rPr>
        <w:t>利率風險</w:t>
      </w:r>
      <w:r w:rsidRPr="008D341A">
        <w:rPr>
          <w:rFonts w:ascii="Arial" w:eastAsia="標楷體" w:hAnsi="Arial" w:cs="Arial"/>
        </w:rPr>
        <w:tab/>
        <w:t>(B)</w:t>
      </w:r>
      <w:r w:rsidRPr="008D341A">
        <w:rPr>
          <w:rFonts w:ascii="Arial" w:eastAsia="標楷體" w:hAnsi="Arial" w:cs="Arial"/>
        </w:rPr>
        <w:t>再投資風險</w:t>
      </w:r>
      <w:r w:rsidRPr="008D341A">
        <w:rPr>
          <w:rFonts w:ascii="Arial" w:eastAsia="標楷體" w:hAnsi="Arial" w:cs="Arial"/>
        </w:rPr>
        <w:tab/>
        <w:t>(C)</w:t>
      </w:r>
      <w:r w:rsidRPr="008D341A">
        <w:rPr>
          <w:rFonts w:ascii="Arial" w:eastAsia="標楷體" w:hAnsi="Arial" w:cs="Arial"/>
        </w:rPr>
        <w:t>違約風險</w:t>
      </w:r>
      <w:r w:rsidRPr="008D341A">
        <w:rPr>
          <w:rFonts w:ascii="Arial" w:eastAsia="標楷體" w:hAnsi="Arial" w:cs="Arial"/>
        </w:rPr>
        <w:tab/>
        <w:t>(D)</w:t>
      </w:r>
      <w:r w:rsidRPr="008D341A">
        <w:rPr>
          <w:rFonts w:ascii="Arial" w:eastAsia="標楷體" w:hAnsi="Arial" w:cs="Arial"/>
        </w:rPr>
        <w:t>流動性風險</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關於住宅抵押貸款證券化（</w:t>
      </w:r>
      <w:r w:rsidRPr="008D341A">
        <w:rPr>
          <w:rFonts w:ascii="Arial" w:eastAsia="標楷體" w:hAnsi="Arial" w:cs="Arial"/>
        </w:rPr>
        <w:t>RMBS</w:t>
      </w:r>
      <w:r w:rsidRPr="008D341A">
        <w:rPr>
          <w:rFonts w:ascii="Arial" w:eastAsia="標楷體" w:hAnsi="Arial" w:cs="Arial"/>
        </w:rPr>
        <w:t>）與商業不動產抵押貸款證券化（</w:t>
      </w:r>
      <w:r w:rsidRPr="008D341A">
        <w:rPr>
          <w:rFonts w:ascii="Arial" w:eastAsia="標楷體" w:hAnsi="Arial" w:cs="Arial"/>
        </w:rPr>
        <w:t>CMBS</w:t>
      </w:r>
      <w:r w:rsidRPr="008D341A">
        <w:rPr>
          <w:rFonts w:ascii="Arial" w:eastAsia="標楷體" w:hAnsi="Arial" w:cs="Arial"/>
        </w:rPr>
        <w:t>）的差異，何者正確？</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(A)RMBS</w:t>
      </w:r>
      <w:r w:rsidRPr="008D341A">
        <w:rPr>
          <w:rFonts w:ascii="Arial" w:eastAsia="標楷體" w:hAnsi="Arial" w:cs="Arial"/>
        </w:rPr>
        <w:t>標的資產數量較多</w:t>
      </w:r>
      <w:r w:rsidRPr="008D341A">
        <w:rPr>
          <w:rFonts w:ascii="Arial" w:eastAsia="標楷體" w:hAnsi="Arial" w:cs="Arial"/>
        </w:rPr>
        <w:tab/>
        <w:t>(B)CMBS</w:t>
      </w:r>
      <w:r w:rsidRPr="008D341A">
        <w:rPr>
          <w:rFonts w:ascii="Arial" w:eastAsia="標楷體" w:hAnsi="Arial" w:cs="Arial"/>
        </w:rPr>
        <w:t>標的資產單一債權金額較大</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(C)RMBS</w:t>
      </w:r>
      <w:r w:rsidRPr="008D341A">
        <w:rPr>
          <w:rFonts w:ascii="Arial" w:eastAsia="標楷體" w:hAnsi="Arial" w:cs="Arial"/>
        </w:rPr>
        <w:t>的提前還款風險較大</w:t>
      </w:r>
      <w:r w:rsidRPr="008D341A">
        <w:rPr>
          <w:rFonts w:ascii="Arial" w:eastAsia="標楷體" w:hAnsi="Arial" w:cs="Arial"/>
        </w:rPr>
        <w:tab/>
        <w:t>(D)</w:t>
      </w:r>
      <w:r w:rsidRPr="008D341A">
        <w:rPr>
          <w:rFonts w:ascii="Arial" w:eastAsia="標楷體" w:hAnsi="Arial" w:cs="Arial"/>
        </w:rPr>
        <w:t>選項</w:t>
      </w:r>
      <w:r w:rsidRPr="008D341A">
        <w:rPr>
          <w:rFonts w:ascii="Arial" w:eastAsia="標楷體" w:hAnsi="Arial" w:cs="Arial"/>
        </w:rPr>
        <w:t>(A)</w:t>
      </w:r>
      <w:r>
        <w:rPr>
          <w:rFonts w:ascii="標楷體" w:eastAsia="標楷體" w:hAnsi="標楷體" w:cs="Arial" w:hint="eastAsia"/>
        </w:rPr>
        <w:t>、</w:t>
      </w:r>
      <w:r w:rsidRPr="008D341A">
        <w:rPr>
          <w:rFonts w:ascii="Arial" w:eastAsia="標楷體" w:hAnsi="Arial" w:cs="Arial"/>
        </w:rPr>
        <w:t>(B)</w:t>
      </w:r>
      <w:r>
        <w:rPr>
          <w:rFonts w:ascii="標楷體" w:eastAsia="標楷體" w:hAnsi="標楷體" w:cs="Arial" w:hint="eastAsia"/>
        </w:rPr>
        <w:t>、</w:t>
      </w:r>
      <w:r w:rsidRPr="008D341A">
        <w:rPr>
          <w:rFonts w:ascii="Arial" w:eastAsia="標楷體" w:hAnsi="Arial" w:cs="Arial"/>
        </w:rPr>
        <w:t>(C)</w:t>
      </w:r>
      <w:r w:rsidRPr="008D341A">
        <w:rPr>
          <w:rFonts w:ascii="Arial" w:eastAsia="標楷體" w:hAnsi="Arial" w:cs="Arial"/>
        </w:rPr>
        <w:t>皆是</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以下對於服務機構之敘述，何者正確？</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(A)</w:t>
      </w:r>
      <w:r w:rsidRPr="008D341A">
        <w:rPr>
          <w:rFonts w:ascii="Arial" w:eastAsia="標楷體" w:hAnsi="Arial" w:cs="Arial"/>
        </w:rPr>
        <w:t>必須為銀行之信託部</w:t>
      </w:r>
      <w:r>
        <w:rPr>
          <w:rFonts w:ascii="Arial" w:eastAsia="標楷體" w:hAnsi="Arial" w:cs="Arial" w:hint="eastAsia"/>
        </w:rPr>
        <w:tab/>
      </w:r>
      <w:r w:rsidRPr="008D341A">
        <w:rPr>
          <w:rFonts w:ascii="Arial" w:eastAsia="標楷體" w:hAnsi="Arial" w:cs="Arial"/>
        </w:rPr>
        <w:tab/>
        <w:t>(B)</w:t>
      </w:r>
      <w:r w:rsidRPr="008D341A">
        <w:rPr>
          <w:rFonts w:ascii="Arial" w:eastAsia="標楷體" w:hAnsi="Arial" w:cs="Arial"/>
        </w:rPr>
        <w:t>一般為銀行之信託部</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(C)</w:t>
      </w:r>
      <w:r w:rsidRPr="008D341A">
        <w:rPr>
          <w:rFonts w:ascii="Arial" w:eastAsia="標楷體" w:hAnsi="Arial" w:cs="Arial"/>
        </w:rPr>
        <w:t>不可以為資產出售人</w:t>
      </w:r>
      <w:r>
        <w:rPr>
          <w:rFonts w:ascii="Arial" w:eastAsia="標楷體" w:hAnsi="Arial" w:cs="Arial" w:hint="eastAsia"/>
        </w:rPr>
        <w:tab/>
      </w:r>
      <w:r w:rsidRPr="008D341A">
        <w:rPr>
          <w:rFonts w:ascii="Arial" w:eastAsia="標楷體" w:hAnsi="Arial" w:cs="Arial"/>
        </w:rPr>
        <w:tab/>
        <w:t>(D)</w:t>
      </w:r>
      <w:r w:rsidRPr="008D341A">
        <w:rPr>
          <w:rFonts w:ascii="Arial" w:eastAsia="標楷體" w:hAnsi="Arial" w:cs="Arial"/>
        </w:rPr>
        <w:t>一般為資產出售人或委託人</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哪一種證券化常設資產管理人（</w:t>
      </w:r>
      <w:r w:rsidRPr="008D341A">
        <w:rPr>
          <w:rFonts w:ascii="Arial" w:eastAsia="標楷體" w:hAnsi="Arial" w:cs="Arial"/>
        </w:rPr>
        <w:t>Asset Manager</w:t>
      </w:r>
      <w:r w:rsidRPr="008D341A">
        <w:rPr>
          <w:rFonts w:ascii="Arial" w:eastAsia="標楷體" w:hAnsi="Arial" w:cs="Arial"/>
        </w:rPr>
        <w:t>）？</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(A)</w:t>
      </w:r>
      <w:r w:rsidRPr="008D341A">
        <w:rPr>
          <w:rFonts w:ascii="Arial" w:eastAsia="標楷體" w:hAnsi="Arial" w:cs="Arial"/>
        </w:rPr>
        <w:t>車貸</w:t>
      </w:r>
      <w:r w:rsidRPr="008D341A">
        <w:rPr>
          <w:rFonts w:ascii="Arial" w:eastAsia="標楷體" w:hAnsi="Arial" w:cs="Arial"/>
        </w:rPr>
        <w:tab/>
      </w:r>
      <w:r w:rsidRPr="008D341A">
        <w:rPr>
          <w:rFonts w:ascii="Arial" w:eastAsia="標楷體" w:hAnsi="Arial" w:cs="Arial"/>
        </w:rPr>
        <w:tab/>
        <w:t>(B)</w:t>
      </w:r>
      <w:r w:rsidRPr="008D341A">
        <w:rPr>
          <w:rFonts w:ascii="Arial" w:eastAsia="標楷體" w:hAnsi="Arial" w:cs="Arial"/>
        </w:rPr>
        <w:t>住宅貸款</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(C)</w:t>
      </w:r>
      <w:r w:rsidRPr="008D341A">
        <w:rPr>
          <w:rFonts w:ascii="Arial" w:eastAsia="標楷體" w:hAnsi="Arial" w:cs="Arial"/>
        </w:rPr>
        <w:t>資產擔保商業本票（</w:t>
      </w:r>
      <w:r w:rsidRPr="008D341A">
        <w:rPr>
          <w:rFonts w:ascii="Arial" w:eastAsia="標楷體" w:hAnsi="Arial" w:cs="Arial"/>
        </w:rPr>
        <w:t>ABCP</w:t>
      </w:r>
      <w:r w:rsidRPr="008D341A">
        <w:rPr>
          <w:rFonts w:ascii="Arial" w:eastAsia="標楷體" w:hAnsi="Arial" w:cs="Arial"/>
        </w:rPr>
        <w:t>）</w:t>
      </w:r>
      <w:r w:rsidRPr="008D341A">
        <w:rPr>
          <w:rFonts w:ascii="Arial" w:eastAsia="標楷體" w:hAnsi="Arial" w:cs="Arial"/>
        </w:rPr>
        <w:tab/>
        <w:t>(D)</w:t>
      </w:r>
      <w:r w:rsidRPr="008D341A">
        <w:rPr>
          <w:rFonts w:ascii="Arial" w:eastAsia="標楷體" w:hAnsi="Arial" w:cs="Arial"/>
        </w:rPr>
        <w:t>信用卡債權</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合成型擔保債權憑證與傳統型擔保債權憑證最大的差異為</w:t>
      </w:r>
      <w:r>
        <w:rPr>
          <w:rFonts w:ascii="標楷體" w:eastAsia="標楷體" w:hAnsi="標楷體" w:cs="Arial" w:hint="eastAsia"/>
        </w:rPr>
        <w:t>：</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(A)</w:t>
      </w:r>
      <w:r w:rsidRPr="008D341A">
        <w:rPr>
          <w:rFonts w:ascii="Arial" w:eastAsia="標楷體" w:hAnsi="Arial" w:cs="Arial"/>
        </w:rPr>
        <w:t>次級市場之流動性</w:t>
      </w:r>
      <w:r w:rsidRPr="008D341A">
        <w:rPr>
          <w:rFonts w:ascii="Arial" w:eastAsia="標楷體" w:hAnsi="Arial" w:cs="Arial"/>
        </w:rPr>
        <w:tab/>
      </w:r>
      <w:r w:rsidRPr="008D341A">
        <w:rPr>
          <w:rFonts w:ascii="Arial" w:eastAsia="標楷體" w:hAnsi="Arial" w:cs="Arial"/>
        </w:rPr>
        <w:tab/>
        <w:t>(B)</w:t>
      </w:r>
      <w:r w:rsidRPr="008D341A">
        <w:rPr>
          <w:rFonts w:ascii="Arial" w:eastAsia="標楷體" w:hAnsi="Arial" w:cs="Arial"/>
        </w:rPr>
        <w:t>參與合成型的外部機構較多</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(C)</w:t>
      </w:r>
      <w:r w:rsidRPr="008D341A">
        <w:rPr>
          <w:rFonts w:ascii="Arial" w:eastAsia="標楷體" w:hAnsi="Arial" w:cs="Arial"/>
        </w:rPr>
        <w:t>傳統型之訂價與其現金流量績效有關連性</w:t>
      </w:r>
      <w:r w:rsidRPr="008D341A">
        <w:rPr>
          <w:rFonts w:ascii="Arial" w:eastAsia="標楷體" w:hAnsi="Arial" w:cs="Arial"/>
        </w:rPr>
        <w:tab/>
        <w:t>(D)</w:t>
      </w:r>
      <w:r w:rsidRPr="008D341A">
        <w:rPr>
          <w:rFonts w:ascii="Arial" w:eastAsia="標楷體" w:hAnsi="Arial" w:cs="Arial"/>
        </w:rPr>
        <w:t>合成型並無真實出售之過程</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信用卡債權證券化時若以轉付架構發行，會造成：</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(A)</w:t>
      </w:r>
      <w:r w:rsidRPr="008D341A">
        <w:rPr>
          <w:rFonts w:ascii="Arial" w:eastAsia="標楷體" w:hAnsi="Arial" w:cs="Arial"/>
        </w:rPr>
        <w:t>證券壽命太短</w:t>
      </w:r>
      <w:r w:rsidRPr="008D341A">
        <w:rPr>
          <w:rFonts w:ascii="Arial" w:eastAsia="標楷體" w:hAnsi="Arial" w:cs="Arial"/>
        </w:rPr>
        <w:tab/>
        <w:t>(B)</w:t>
      </w:r>
      <w:r w:rsidRPr="008D341A">
        <w:rPr>
          <w:rFonts w:ascii="Arial" w:eastAsia="標楷體" w:hAnsi="Arial" w:cs="Arial"/>
        </w:rPr>
        <w:t>違約風險提高</w:t>
      </w:r>
      <w:r w:rsidRPr="008D341A">
        <w:rPr>
          <w:rFonts w:ascii="Arial" w:eastAsia="標楷體" w:hAnsi="Arial" w:cs="Arial"/>
        </w:rPr>
        <w:tab/>
        <w:t>(C)</w:t>
      </w:r>
      <w:r w:rsidRPr="008D341A">
        <w:rPr>
          <w:rFonts w:ascii="Arial" w:eastAsia="標楷體" w:hAnsi="Arial" w:cs="Arial"/>
        </w:rPr>
        <w:t>證券利率太高</w:t>
      </w:r>
      <w:r w:rsidRPr="008D341A">
        <w:rPr>
          <w:rFonts w:ascii="Arial" w:eastAsia="標楷體" w:hAnsi="Arial" w:cs="Arial"/>
        </w:rPr>
        <w:tab/>
        <w:t>(D)</w:t>
      </w:r>
      <w:r w:rsidRPr="008D341A">
        <w:rPr>
          <w:rFonts w:ascii="Arial" w:eastAsia="標楷體" w:hAnsi="Arial" w:cs="Arial"/>
        </w:rPr>
        <w:t>證券服務費率太高</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下列哪一種證券化商品的現金流量模式與公司債最接近？</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(A)</w:t>
      </w:r>
      <w:r w:rsidRPr="008D341A">
        <w:rPr>
          <w:rFonts w:ascii="Arial" w:eastAsia="標楷體" w:hAnsi="Arial" w:cs="Arial"/>
        </w:rPr>
        <w:t>房貸轉付證券</w:t>
      </w:r>
      <w:r w:rsidRPr="008D341A">
        <w:rPr>
          <w:rFonts w:ascii="Arial" w:eastAsia="標楷體" w:hAnsi="Arial" w:cs="Arial"/>
        </w:rPr>
        <w:tab/>
      </w:r>
      <w:r w:rsidRPr="008D341A">
        <w:rPr>
          <w:rFonts w:ascii="Arial" w:eastAsia="標楷體" w:hAnsi="Arial" w:cs="Arial"/>
        </w:rPr>
        <w:tab/>
        <w:t>(B)</w:t>
      </w:r>
      <w:proofErr w:type="gramStart"/>
      <w:r w:rsidRPr="008D341A">
        <w:rPr>
          <w:rFonts w:ascii="Arial" w:eastAsia="標楷體" w:hAnsi="Arial" w:cs="Arial"/>
        </w:rPr>
        <w:t>車貸轉付</w:t>
      </w:r>
      <w:proofErr w:type="gramEnd"/>
      <w:r w:rsidRPr="008D341A">
        <w:rPr>
          <w:rFonts w:ascii="Arial" w:eastAsia="標楷體" w:hAnsi="Arial" w:cs="Arial"/>
        </w:rPr>
        <w:t>證券</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(C)</w:t>
      </w:r>
      <w:r w:rsidRPr="008D341A">
        <w:rPr>
          <w:rFonts w:ascii="Arial" w:eastAsia="標楷體" w:hAnsi="Arial" w:cs="Arial"/>
        </w:rPr>
        <w:t>不動產投資信託受益憑證</w:t>
      </w:r>
      <w:r w:rsidRPr="008D341A">
        <w:rPr>
          <w:rFonts w:ascii="Arial" w:eastAsia="標楷體" w:hAnsi="Arial" w:cs="Arial"/>
        </w:rPr>
        <w:tab/>
        <w:t>(D)</w:t>
      </w:r>
      <w:r w:rsidRPr="008D341A">
        <w:rPr>
          <w:rFonts w:ascii="Arial" w:eastAsia="標楷體" w:hAnsi="Arial" w:cs="Arial"/>
        </w:rPr>
        <w:t>商用不動產抵押貸款證券</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不良債權證券化因其資產獨特的風險，通常</w:t>
      </w:r>
      <w:proofErr w:type="gramStart"/>
      <w:r w:rsidRPr="008D341A">
        <w:rPr>
          <w:rFonts w:ascii="Arial" w:eastAsia="標楷體" w:hAnsi="Arial" w:cs="Arial"/>
        </w:rPr>
        <w:t>採</w:t>
      </w:r>
      <w:proofErr w:type="gramEnd"/>
      <w:r w:rsidRPr="008D341A">
        <w:rPr>
          <w:rFonts w:ascii="Arial" w:eastAsia="標楷體" w:hAnsi="Arial" w:cs="Arial"/>
        </w:rPr>
        <w:t>什麼方式發行？</w:t>
      </w:r>
    </w:p>
    <w:p w:rsidR="00D40A9C"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(A)</w:t>
      </w:r>
      <w:r w:rsidRPr="008D341A">
        <w:rPr>
          <w:rFonts w:ascii="Arial" w:eastAsia="標楷體" w:hAnsi="Arial" w:cs="Arial"/>
        </w:rPr>
        <w:t>一般付息債券</w:t>
      </w:r>
      <w:r w:rsidRPr="008D341A">
        <w:rPr>
          <w:rFonts w:ascii="Arial" w:eastAsia="標楷體" w:hAnsi="Arial" w:cs="Arial"/>
        </w:rPr>
        <w:tab/>
      </w:r>
      <w:r>
        <w:rPr>
          <w:rFonts w:ascii="Arial" w:eastAsia="標楷體" w:hAnsi="Arial" w:cs="Arial" w:hint="eastAsia"/>
        </w:rPr>
        <w:tab/>
      </w:r>
      <w:r w:rsidRPr="008D341A">
        <w:rPr>
          <w:rFonts w:ascii="Arial" w:eastAsia="標楷體" w:hAnsi="Arial" w:cs="Arial"/>
        </w:rPr>
        <w:t>(B)</w:t>
      </w:r>
      <w:r w:rsidRPr="008D341A">
        <w:rPr>
          <w:rFonts w:ascii="Arial" w:eastAsia="標楷體" w:hAnsi="Arial" w:cs="Arial"/>
        </w:rPr>
        <w:t>定期</w:t>
      </w:r>
      <w:proofErr w:type="gramStart"/>
      <w:r w:rsidRPr="008D341A">
        <w:rPr>
          <w:rFonts w:ascii="Arial" w:eastAsia="標楷體" w:hAnsi="Arial" w:cs="Arial"/>
        </w:rPr>
        <w:t>付本</w:t>
      </w:r>
      <w:proofErr w:type="gramEnd"/>
      <w:r w:rsidRPr="008D341A">
        <w:rPr>
          <w:rFonts w:ascii="Arial" w:eastAsia="標楷體" w:hAnsi="Arial" w:cs="Arial"/>
        </w:rPr>
        <w:t>利債券</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(C)</w:t>
      </w:r>
      <w:r w:rsidRPr="008D341A">
        <w:rPr>
          <w:rFonts w:ascii="Arial" w:eastAsia="標楷體" w:hAnsi="Arial" w:cs="Arial"/>
        </w:rPr>
        <w:t>零息債券</w:t>
      </w:r>
      <w:r w:rsidRPr="008D341A">
        <w:rPr>
          <w:rFonts w:ascii="Arial" w:eastAsia="標楷體" w:hAnsi="Arial" w:cs="Arial"/>
        </w:rPr>
        <w:tab/>
      </w:r>
      <w:r>
        <w:rPr>
          <w:rFonts w:ascii="Arial" w:eastAsia="標楷體" w:hAnsi="Arial" w:cs="Arial" w:hint="eastAsia"/>
        </w:rPr>
        <w:tab/>
      </w:r>
      <w:r w:rsidRPr="008D341A">
        <w:rPr>
          <w:rFonts w:ascii="Arial" w:eastAsia="標楷體" w:hAnsi="Arial" w:cs="Arial"/>
        </w:rPr>
        <w:t>(D)</w:t>
      </w:r>
      <w:r w:rsidRPr="008D341A">
        <w:rPr>
          <w:rFonts w:ascii="Arial" w:eastAsia="標楷體" w:hAnsi="Arial" w:cs="Arial"/>
        </w:rPr>
        <w:t>選項</w:t>
      </w:r>
      <w:r w:rsidRPr="008D341A">
        <w:rPr>
          <w:rFonts w:ascii="Arial" w:eastAsia="標楷體" w:hAnsi="Arial" w:cs="Arial"/>
        </w:rPr>
        <w:t>(A)</w:t>
      </w:r>
      <w:r>
        <w:rPr>
          <w:rFonts w:ascii="標楷體" w:eastAsia="標楷體" w:hAnsi="標楷體" w:cs="Arial" w:hint="eastAsia"/>
        </w:rPr>
        <w:t>、</w:t>
      </w:r>
      <w:r w:rsidRPr="008D341A">
        <w:rPr>
          <w:rFonts w:ascii="Arial" w:eastAsia="標楷體" w:hAnsi="Arial" w:cs="Arial"/>
        </w:rPr>
        <w:t>(B)</w:t>
      </w:r>
      <w:r>
        <w:rPr>
          <w:rFonts w:ascii="標楷體" w:eastAsia="標楷體" w:hAnsi="標楷體" w:cs="Arial" w:hint="eastAsia"/>
        </w:rPr>
        <w:t>、</w:t>
      </w:r>
      <w:r w:rsidRPr="008D341A">
        <w:rPr>
          <w:rFonts w:ascii="Arial" w:eastAsia="標楷體" w:hAnsi="Arial" w:cs="Arial"/>
        </w:rPr>
        <w:t>(C)</w:t>
      </w:r>
      <w:r w:rsidRPr="008D341A">
        <w:rPr>
          <w:rFonts w:ascii="Arial" w:eastAsia="標楷體" w:hAnsi="Arial" w:cs="Arial"/>
        </w:rPr>
        <w:t>皆非</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從同一</w:t>
      </w:r>
      <w:proofErr w:type="gramStart"/>
      <w:r w:rsidRPr="008D341A">
        <w:rPr>
          <w:rFonts w:ascii="Arial" w:eastAsia="標楷體" w:hAnsi="Arial" w:cs="Arial"/>
        </w:rPr>
        <w:t>個</w:t>
      </w:r>
      <w:proofErr w:type="gramEnd"/>
      <w:r w:rsidRPr="008D341A">
        <w:rPr>
          <w:rFonts w:ascii="Arial" w:eastAsia="標楷體" w:hAnsi="Arial" w:cs="Arial"/>
        </w:rPr>
        <w:t>CMO</w:t>
      </w:r>
      <w:r w:rsidRPr="008D341A">
        <w:rPr>
          <w:rFonts w:ascii="Arial" w:eastAsia="標楷體" w:hAnsi="Arial" w:cs="Arial"/>
        </w:rPr>
        <w:t>之中切割出之證券</w:t>
      </w:r>
      <w:r>
        <w:rPr>
          <w:rFonts w:ascii="標楷體" w:eastAsia="標楷體" w:hAnsi="標楷體" w:cs="Arial" w:hint="eastAsia"/>
        </w:rPr>
        <w:t>，</w:t>
      </w:r>
      <w:r w:rsidRPr="008D341A">
        <w:rPr>
          <w:rFonts w:ascii="Arial" w:eastAsia="標楷體" w:hAnsi="Arial" w:cs="Arial"/>
        </w:rPr>
        <w:t>哪一類信用風險最高？</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(A)</w:t>
      </w:r>
      <w:r w:rsidRPr="008D341A">
        <w:rPr>
          <w:rFonts w:ascii="Arial" w:eastAsia="標楷體" w:hAnsi="Arial" w:cs="Arial"/>
        </w:rPr>
        <w:t>計畫性還本類組（</w:t>
      </w:r>
      <w:r w:rsidRPr="008D341A">
        <w:rPr>
          <w:rFonts w:ascii="Arial" w:eastAsia="標楷體" w:hAnsi="Arial" w:cs="Arial"/>
        </w:rPr>
        <w:t>Planned Amortization Class</w:t>
      </w:r>
      <w:r w:rsidRPr="008D341A">
        <w:rPr>
          <w:rFonts w:ascii="Arial" w:eastAsia="標楷體" w:hAnsi="Arial" w:cs="Arial"/>
        </w:rPr>
        <w:t>）</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(B)</w:t>
      </w:r>
      <w:r w:rsidRPr="008D341A">
        <w:rPr>
          <w:rFonts w:ascii="Arial" w:eastAsia="標楷體" w:hAnsi="Arial" w:cs="Arial"/>
        </w:rPr>
        <w:t>目標性還本類組（</w:t>
      </w:r>
      <w:r w:rsidRPr="008D341A">
        <w:rPr>
          <w:rFonts w:ascii="Arial" w:eastAsia="標楷體" w:hAnsi="Arial" w:cs="Arial"/>
        </w:rPr>
        <w:t>Targeted Amortization Class</w:t>
      </w:r>
      <w:r w:rsidRPr="008D341A">
        <w:rPr>
          <w:rFonts w:ascii="Arial" w:eastAsia="標楷體" w:hAnsi="Arial" w:cs="Arial"/>
        </w:rPr>
        <w:t>）</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(C)</w:t>
      </w:r>
      <w:r w:rsidRPr="008D341A">
        <w:rPr>
          <w:rFonts w:ascii="Arial" w:eastAsia="標楷體" w:hAnsi="Arial" w:cs="Arial"/>
        </w:rPr>
        <w:t>次級計畫性還本類組</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(D)</w:t>
      </w:r>
      <w:r w:rsidRPr="008D341A">
        <w:rPr>
          <w:rFonts w:ascii="Arial" w:eastAsia="標楷體" w:hAnsi="Arial" w:cs="Arial"/>
        </w:rPr>
        <w:t>選項</w:t>
      </w:r>
      <w:r w:rsidRPr="008D341A">
        <w:rPr>
          <w:rFonts w:ascii="Arial" w:eastAsia="標楷體" w:hAnsi="Arial" w:cs="Arial"/>
        </w:rPr>
        <w:t>(A)</w:t>
      </w:r>
      <w:r>
        <w:rPr>
          <w:rFonts w:ascii="標楷體" w:eastAsia="標楷體" w:hAnsi="標楷體" w:cs="Arial" w:hint="eastAsia"/>
        </w:rPr>
        <w:t>、</w:t>
      </w:r>
      <w:r w:rsidRPr="008D341A">
        <w:rPr>
          <w:rFonts w:ascii="Arial" w:eastAsia="標楷體" w:hAnsi="Arial" w:cs="Arial"/>
        </w:rPr>
        <w:t>(B)</w:t>
      </w:r>
      <w:r>
        <w:rPr>
          <w:rFonts w:ascii="標楷體" w:eastAsia="標楷體" w:hAnsi="標楷體" w:cs="Arial" w:hint="eastAsia"/>
        </w:rPr>
        <w:t>、</w:t>
      </w:r>
      <w:r w:rsidRPr="008D341A">
        <w:rPr>
          <w:rFonts w:ascii="Arial" w:eastAsia="標楷體" w:hAnsi="Arial" w:cs="Arial"/>
        </w:rPr>
        <w:t>(C)</w:t>
      </w:r>
      <w:r w:rsidRPr="008D341A">
        <w:rPr>
          <w:rFonts w:ascii="Arial" w:eastAsia="標楷體" w:hAnsi="Arial" w:cs="Arial"/>
        </w:rPr>
        <w:t>皆相同</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不動產證券化的專家意見書，最主要在檢視：</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(A)</w:t>
      </w:r>
      <w:r w:rsidRPr="008D341A">
        <w:rPr>
          <w:rFonts w:ascii="Arial" w:eastAsia="標楷體" w:hAnsi="Arial" w:cs="Arial"/>
        </w:rPr>
        <w:t>不動產交易價格的允當性</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(B)</w:t>
      </w:r>
      <w:r w:rsidRPr="008D341A">
        <w:rPr>
          <w:rFonts w:ascii="Arial" w:eastAsia="標楷體" w:hAnsi="Arial" w:cs="Arial"/>
        </w:rPr>
        <w:t>不動產所產生之現金流量的穩定性</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(C)</w:t>
      </w:r>
      <w:r w:rsidRPr="008D341A">
        <w:rPr>
          <w:rFonts w:ascii="Arial" w:eastAsia="標楷體" w:hAnsi="Arial" w:cs="Arial"/>
        </w:rPr>
        <w:t>二份估價報告是否符合估價技術規則</w:t>
      </w:r>
    </w:p>
    <w:p w:rsidR="00D40A9C"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(D)</w:t>
      </w:r>
      <w:r w:rsidRPr="008D341A">
        <w:rPr>
          <w:rFonts w:ascii="Arial" w:eastAsia="標楷體" w:hAnsi="Arial" w:cs="Arial"/>
        </w:rPr>
        <w:t>選項</w:t>
      </w:r>
      <w:r w:rsidRPr="008D341A">
        <w:rPr>
          <w:rFonts w:ascii="Arial" w:eastAsia="標楷體" w:hAnsi="Arial" w:cs="Arial"/>
        </w:rPr>
        <w:t>(A)</w:t>
      </w:r>
      <w:r>
        <w:rPr>
          <w:rFonts w:ascii="標楷體" w:eastAsia="標楷體" w:hAnsi="標楷體" w:cs="Arial" w:hint="eastAsia"/>
        </w:rPr>
        <w:t>、</w:t>
      </w:r>
      <w:r w:rsidRPr="008D341A">
        <w:rPr>
          <w:rFonts w:ascii="Arial" w:eastAsia="標楷體" w:hAnsi="Arial" w:cs="Arial"/>
        </w:rPr>
        <w:t>(B)</w:t>
      </w:r>
      <w:r>
        <w:rPr>
          <w:rFonts w:ascii="標楷體" w:eastAsia="標楷體" w:hAnsi="標楷體" w:cs="Arial" w:hint="eastAsia"/>
        </w:rPr>
        <w:t>、</w:t>
      </w:r>
      <w:r w:rsidRPr="008D341A">
        <w:rPr>
          <w:rFonts w:ascii="Arial" w:eastAsia="標楷體" w:hAnsi="Arial" w:cs="Arial"/>
        </w:rPr>
        <w:t>(C)</w:t>
      </w:r>
      <w:r w:rsidRPr="008D341A">
        <w:rPr>
          <w:rFonts w:ascii="Arial" w:eastAsia="標楷體" w:hAnsi="Arial" w:cs="Arial"/>
        </w:rPr>
        <w:t>皆是</w:t>
      </w:r>
    </w:p>
    <w:p w:rsidR="000C03B6" w:rsidRDefault="000C03B6" w:rsidP="00D40A9C">
      <w:pPr>
        <w:tabs>
          <w:tab w:val="left" w:pos="2977"/>
          <w:tab w:val="left" w:pos="5387"/>
          <w:tab w:val="left" w:pos="7797"/>
        </w:tabs>
        <w:snapToGrid w:val="0"/>
        <w:spacing w:before="20" w:after="20" w:line="300" w:lineRule="exact"/>
        <w:ind w:firstLine="480"/>
        <w:rPr>
          <w:rFonts w:ascii="Arial" w:eastAsia="標楷體" w:hAnsi="Arial" w:cs="Arial"/>
        </w:rPr>
      </w:pPr>
    </w:p>
    <w:p w:rsidR="000C03B6" w:rsidRPr="008D341A" w:rsidRDefault="000C03B6" w:rsidP="00D40A9C">
      <w:pPr>
        <w:tabs>
          <w:tab w:val="left" w:pos="2977"/>
          <w:tab w:val="left" w:pos="5387"/>
          <w:tab w:val="left" w:pos="7797"/>
        </w:tabs>
        <w:snapToGrid w:val="0"/>
        <w:spacing w:before="20" w:after="20" w:line="300" w:lineRule="exact"/>
        <w:ind w:firstLine="480"/>
        <w:rPr>
          <w:rFonts w:ascii="Arial" w:eastAsia="標楷體" w:hAnsi="Arial" w:cs="Arial"/>
        </w:rPr>
      </w:pP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lastRenderedPageBreak/>
        <w:t>我國不動產證券化商品是由下列何種機構發行？</w:t>
      </w:r>
    </w:p>
    <w:p w:rsidR="00D40A9C"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(A)</w:t>
      </w:r>
      <w:r w:rsidRPr="008D341A">
        <w:rPr>
          <w:rFonts w:ascii="Arial" w:eastAsia="標楷體" w:hAnsi="Arial" w:cs="Arial"/>
        </w:rPr>
        <w:t>受託機構</w:t>
      </w:r>
      <w:r w:rsidRPr="008D341A">
        <w:rPr>
          <w:rFonts w:ascii="Arial" w:eastAsia="標楷體" w:hAnsi="Arial" w:cs="Arial"/>
        </w:rPr>
        <w:t xml:space="preserve"> </w:t>
      </w:r>
      <w:r w:rsidRPr="008D341A">
        <w:rPr>
          <w:rFonts w:ascii="Arial" w:eastAsia="標楷體" w:hAnsi="Arial" w:cs="Arial"/>
        </w:rPr>
        <w:tab/>
      </w:r>
      <w:r>
        <w:rPr>
          <w:rFonts w:ascii="Arial" w:eastAsia="標楷體" w:hAnsi="Arial" w:cs="Arial" w:hint="eastAsia"/>
        </w:rPr>
        <w:tab/>
      </w:r>
      <w:r w:rsidRPr="008D341A">
        <w:rPr>
          <w:rFonts w:ascii="Arial" w:eastAsia="標楷體" w:hAnsi="Arial" w:cs="Arial"/>
        </w:rPr>
        <w:t>(B)</w:t>
      </w:r>
      <w:r w:rsidRPr="008D341A">
        <w:rPr>
          <w:rFonts w:ascii="Arial" w:eastAsia="標楷體" w:hAnsi="Arial" w:cs="Arial"/>
        </w:rPr>
        <w:t>特殊目的機構</w:t>
      </w:r>
    </w:p>
    <w:p w:rsidR="00D40A9C"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(C)</w:t>
      </w:r>
      <w:r w:rsidRPr="008D341A">
        <w:rPr>
          <w:rFonts w:ascii="Arial" w:eastAsia="標楷體" w:hAnsi="Arial" w:cs="Arial"/>
        </w:rPr>
        <w:t>選項</w:t>
      </w:r>
      <w:r w:rsidRPr="008D341A">
        <w:rPr>
          <w:rFonts w:ascii="Arial" w:eastAsia="標楷體" w:hAnsi="Arial" w:cs="Arial"/>
        </w:rPr>
        <w:t>(A)</w:t>
      </w:r>
      <w:r>
        <w:rPr>
          <w:rFonts w:ascii="標楷體" w:eastAsia="標楷體" w:hAnsi="標楷體" w:cs="Arial" w:hint="eastAsia"/>
        </w:rPr>
        <w:t>、</w:t>
      </w:r>
      <w:r w:rsidRPr="008D341A">
        <w:rPr>
          <w:rFonts w:ascii="Arial" w:eastAsia="標楷體" w:hAnsi="Arial" w:cs="Arial"/>
        </w:rPr>
        <w:t>(B)</w:t>
      </w:r>
      <w:r w:rsidRPr="008D341A">
        <w:rPr>
          <w:rFonts w:ascii="Arial" w:eastAsia="標楷體" w:hAnsi="Arial" w:cs="Arial"/>
        </w:rPr>
        <w:t>皆是</w:t>
      </w:r>
      <w:r w:rsidRPr="008D341A">
        <w:rPr>
          <w:rFonts w:ascii="Arial" w:eastAsia="標楷體" w:hAnsi="Arial" w:cs="Arial"/>
        </w:rPr>
        <w:tab/>
      </w:r>
      <w:r>
        <w:rPr>
          <w:rFonts w:ascii="Arial" w:eastAsia="標楷體" w:hAnsi="Arial" w:cs="Arial" w:hint="eastAsia"/>
        </w:rPr>
        <w:tab/>
      </w:r>
      <w:r w:rsidRPr="008D341A">
        <w:rPr>
          <w:rFonts w:ascii="Arial" w:eastAsia="標楷體" w:hAnsi="Arial" w:cs="Arial"/>
        </w:rPr>
        <w:t>(D)</w:t>
      </w:r>
      <w:r w:rsidRPr="008D341A">
        <w:rPr>
          <w:rFonts w:ascii="Arial" w:eastAsia="標楷體" w:hAnsi="Arial" w:cs="Arial"/>
        </w:rPr>
        <w:t>選項</w:t>
      </w:r>
      <w:r w:rsidRPr="008D341A">
        <w:rPr>
          <w:rFonts w:ascii="Arial" w:eastAsia="標楷體" w:hAnsi="Arial" w:cs="Arial"/>
        </w:rPr>
        <w:t>(A)</w:t>
      </w:r>
      <w:r>
        <w:rPr>
          <w:rFonts w:ascii="標楷體" w:eastAsia="標楷體" w:hAnsi="標楷體" w:cs="Arial" w:hint="eastAsia"/>
        </w:rPr>
        <w:t>、</w:t>
      </w:r>
      <w:r w:rsidRPr="008D341A">
        <w:rPr>
          <w:rFonts w:ascii="Arial" w:eastAsia="標楷體" w:hAnsi="Arial" w:cs="Arial"/>
        </w:rPr>
        <w:t>(B)</w:t>
      </w:r>
      <w:r w:rsidRPr="008D341A">
        <w:rPr>
          <w:rFonts w:ascii="Arial" w:eastAsia="標楷體" w:hAnsi="Arial" w:cs="Arial"/>
        </w:rPr>
        <w:t>皆非</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下列何者可以做為擔保債權憑證（</w:t>
      </w:r>
      <w:r w:rsidRPr="008D341A">
        <w:rPr>
          <w:rFonts w:ascii="Arial" w:eastAsia="標楷體" w:hAnsi="Arial" w:cs="Arial"/>
        </w:rPr>
        <w:t>CDO</w:t>
      </w:r>
      <w:r w:rsidRPr="008D341A">
        <w:rPr>
          <w:rFonts w:ascii="Arial" w:eastAsia="標楷體" w:hAnsi="Arial" w:cs="Arial"/>
        </w:rPr>
        <w:t>）的標的資產？</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(A)</w:t>
      </w:r>
      <w:r w:rsidRPr="008D341A">
        <w:rPr>
          <w:rFonts w:ascii="Arial" w:eastAsia="標楷體" w:hAnsi="Arial" w:cs="Arial"/>
        </w:rPr>
        <w:t>企業貸款</w:t>
      </w:r>
      <w:r w:rsidRPr="008D341A">
        <w:rPr>
          <w:rFonts w:ascii="Arial" w:eastAsia="標楷體" w:hAnsi="Arial" w:cs="Arial"/>
        </w:rPr>
        <w:t xml:space="preserve"> </w:t>
      </w:r>
      <w:r w:rsidRPr="008D341A">
        <w:rPr>
          <w:rFonts w:ascii="Arial" w:eastAsia="標楷體" w:hAnsi="Arial" w:cs="Arial"/>
        </w:rPr>
        <w:tab/>
      </w:r>
      <w:r w:rsidRPr="008D341A">
        <w:rPr>
          <w:rFonts w:ascii="Arial" w:eastAsia="標楷體" w:hAnsi="Arial" w:cs="Arial"/>
        </w:rPr>
        <w:tab/>
        <w:t>(B)</w:t>
      </w:r>
      <w:r w:rsidRPr="008D341A">
        <w:rPr>
          <w:rFonts w:ascii="Arial" w:eastAsia="標楷體" w:hAnsi="Arial" w:cs="Arial"/>
        </w:rPr>
        <w:t>債券</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(C)</w:t>
      </w:r>
      <w:r w:rsidRPr="008D341A">
        <w:rPr>
          <w:rFonts w:ascii="Arial" w:eastAsia="標楷體" w:hAnsi="Arial" w:cs="Arial"/>
        </w:rPr>
        <w:t>企業貸款與債券之組合</w:t>
      </w:r>
      <w:r w:rsidRPr="008D341A">
        <w:rPr>
          <w:rFonts w:ascii="Arial" w:eastAsia="標楷體" w:hAnsi="Arial" w:cs="Arial"/>
        </w:rPr>
        <w:t xml:space="preserve"> </w:t>
      </w:r>
      <w:r w:rsidRPr="008D341A">
        <w:rPr>
          <w:rFonts w:ascii="Arial" w:eastAsia="標楷體" w:hAnsi="Arial" w:cs="Arial"/>
        </w:rPr>
        <w:tab/>
        <w:t>(D)</w:t>
      </w:r>
      <w:r w:rsidRPr="008D341A">
        <w:rPr>
          <w:rFonts w:ascii="Arial" w:eastAsia="標楷體" w:hAnsi="Arial" w:cs="Arial"/>
        </w:rPr>
        <w:t>選項</w:t>
      </w:r>
      <w:r w:rsidRPr="008D341A">
        <w:rPr>
          <w:rFonts w:ascii="Arial" w:eastAsia="標楷體" w:hAnsi="Arial" w:cs="Arial"/>
        </w:rPr>
        <w:t>(A)</w:t>
      </w:r>
      <w:r>
        <w:rPr>
          <w:rFonts w:ascii="標楷體" w:eastAsia="標楷體" w:hAnsi="標楷體" w:cs="Arial" w:hint="eastAsia"/>
        </w:rPr>
        <w:t>、</w:t>
      </w:r>
      <w:r w:rsidRPr="008D341A">
        <w:rPr>
          <w:rFonts w:ascii="Arial" w:eastAsia="標楷體" w:hAnsi="Arial" w:cs="Arial"/>
        </w:rPr>
        <w:t>(B)</w:t>
      </w:r>
      <w:r>
        <w:rPr>
          <w:rFonts w:ascii="標楷體" w:eastAsia="標楷體" w:hAnsi="標楷體" w:cs="Arial" w:hint="eastAsia"/>
        </w:rPr>
        <w:t>、</w:t>
      </w:r>
      <w:r w:rsidRPr="008D341A">
        <w:rPr>
          <w:rFonts w:ascii="Arial" w:eastAsia="標楷體" w:hAnsi="Arial" w:cs="Arial"/>
        </w:rPr>
        <w:t>(C)</w:t>
      </w:r>
      <w:r w:rsidRPr="008D341A">
        <w:rPr>
          <w:rFonts w:ascii="Arial" w:eastAsia="標楷體" w:hAnsi="Arial" w:cs="Arial"/>
        </w:rPr>
        <w:t>皆可</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下列有關抵押債權債券（</w:t>
      </w:r>
      <w:r w:rsidRPr="008D341A">
        <w:rPr>
          <w:rFonts w:ascii="Arial" w:eastAsia="標楷體" w:hAnsi="Arial" w:cs="Arial"/>
        </w:rPr>
        <w:t>Mortgage Backed Bond</w:t>
      </w:r>
      <w:r w:rsidRPr="008D341A">
        <w:rPr>
          <w:rFonts w:ascii="Arial" w:eastAsia="標楷體" w:hAnsi="Arial" w:cs="Arial"/>
        </w:rPr>
        <w:t>）的敘述，何者正確？</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(A)MBB</w:t>
      </w:r>
      <w:r w:rsidRPr="008D341A">
        <w:rPr>
          <w:rFonts w:ascii="Arial" w:eastAsia="標楷體" w:hAnsi="Arial" w:cs="Arial"/>
        </w:rPr>
        <w:t>投資人沒有提前清償風險</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(B)MBB</w:t>
      </w:r>
      <w:r w:rsidRPr="008D341A">
        <w:rPr>
          <w:rFonts w:ascii="Arial" w:eastAsia="標楷體" w:hAnsi="Arial" w:cs="Arial"/>
        </w:rPr>
        <w:t>投資人需注意發行人的債信</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(C)MBB</w:t>
      </w:r>
      <w:r w:rsidRPr="008D341A">
        <w:rPr>
          <w:rFonts w:ascii="Arial" w:eastAsia="標楷體" w:hAnsi="Arial" w:cs="Arial"/>
        </w:rPr>
        <w:t>性質上較類似以抵押貸款為擔保品的公司債</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(D)</w:t>
      </w:r>
      <w:r w:rsidRPr="008D341A">
        <w:rPr>
          <w:rFonts w:ascii="Arial" w:eastAsia="標楷體" w:hAnsi="Arial" w:cs="Arial"/>
        </w:rPr>
        <w:t>選項</w:t>
      </w:r>
      <w:r w:rsidRPr="008D341A">
        <w:rPr>
          <w:rFonts w:ascii="Arial" w:eastAsia="標楷體" w:hAnsi="Arial" w:cs="Arial"/>
        </w:rPr>
        <w:t>(A)</w:t>
      </w:r>
      <w:r>
        <w:rPr>
          <w:rFonts w:ascii="標楷體" w:eastAsia="標楷體" w:hAnsi="標楷體" w:cs="Arial" w:hint="eastAsia"/>
        </w:rPr>
        <w:t>、</w:t>
      </w:r>
      <w:r w:rsidRPr="008D341A">
        <w:rPr>
          <w:rFonts w:ascii="Arial" w:eastAsia="標楷體" w:hAnsi="Arial" w:cs="Arial"/>
        </w:rPr>
        <w:t>(B)</w:t>
      </w:r>
      <w:r>
        <w:rPr>
          <w:rFonts w:ascii="標楷體" w:eastAsia="標楷體" w:hAnsi="標楷體" w:cs="Arial" w:hint="eastAsia"/>
        </w:rPr>
        <w:t>、</w:t>
      </w:r>
      <w:r w:rsidRPr="008D341A">
        <w:rPr>
          <w:rFonts w:ascii="Arial" w:eastAsia="標楷體" w:hAnsi="Arial" w:cs="Arial"/>
        </w:rPr>
        <w:t>(C)</w:t>
      </w:r>
      <w:r w:rsidRPr="008D341A">
        <w:rPr>
          <w:rFonts w:ascii="Arial" w:eastAsia="標楷體" w:hAnsi="Arial" w:cs="Arial"/>
        </w:rPr>
        <w:t>皆是</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下列有關資產基礎商業本票的敘述</w:t>
      </w:r>
      <w:r>
        <w:rPr>
          <w:rFonts w:ascii="標楷體" w:eastAsia="標楷體" w:hAnsi="標楷體" w:cs="Arial" w:hint="eastAsia"/>
        </w:rPr>
        <w:t>，</w:t>
      </w:r>
      <w:r w:rsidRPr="008D341A">
        <w:rPr>
          <w:rFonts w:ascii="Arial" w:eastAsia="標楷體" w:hAnsi="Arial" w:cs="Arial"/>
        </w:rPr>
        <w:t>何者有誤？</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(A)</w:t>
      </w:r>
      <w:r w:rsidRPr="008D341A">
        <w:rPr>
          <w:rFonts w:ascii="Arial" w:eastAsia="標楷體" w:hAnsi="Arial" w:cs="Arial"/>
        </w:rPr>
        <w:t>屬於短期融資工具</w:t>
      </w:r>
      <w:r w:rsidRPr="008D341A">
        <w:rPr>
          <w:rFonts w:ascii="Arial" w:eastAsia="標楷體" w:hAnsi="Arial" w:cs="Arial"/>
        </w:rPr>
        <w:t xml:space="preserve"> </w:t>
      </w:r>
      <w:r w:rsidRPr="008D341A">
        <w:rPr>
          <w:rFonts w:ascii="Arial" w:eastAsia="標楷體" w:hAnsi="Arial" w:cs="Arial"/>
        </w:rPr>
        <w:tab/>
      </w:r>
      <w:r w:rsidRPr="008D341A">
        <w:rPr>
          <w:rFonts w:ascii="Arial" w:eastAsia="標楷體" w:hAnsi="Arial" w:cs="Arial"/>
        </w:rPr>
        <w:tab/>
        <w:t>(B)</w:t>
      </w:r>
      <w:r w:rsidRPr="008D341A">
        <w:rPr>
          <w:rFonts w:ascii="Arial" w:eastAsia="標楷體" w:hAnsi="Arial" w:cs="Arial"/>
        </w:rPr>
        <w:t>發行人為創始機構</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hAnsi="Arial" w:cs="Arial"/>
        </w:rPr>
      </w:pPr>
      <w:r w:rsidRPr="008D341A">
        <w:rPr>
          <w:rFonts w:ascii="Arial" w:eastAsia="標楷體" w:hAnsi="Arial" w:cs="Arial"/>
        </w:rPr>
        <w:t>(C)</w:t>
      </w:r>
      <w:r w:rsidRPr="008D341A">
        <w:rPr>
          <w:rFonts w:ascii="Arial" w:eastAsia="標楷體" w:hAnsi="Arial" w:cs="Arial"/>
        </w:rPr>
        <w:t>應收帳款債權可為標的資產</w:t>
      </w:r>
      <w:r w:rsidRPr="008D341A">
        <w:rPr>
          <w:rFonts w:ascii="Arial" w:eastAsia="標楷體" w:hAnsi="Arial" w:cs="Arial"/>
        </w:rPr>
        <w:tab/>
        <w:t>(D)</w:t>
      </w:r>
      <w:r w:rsidRPr="008D341A">
        <w:rPr>
          <w:rFonts w:ascii="Arial" w:eastAsia="標楷體" w:hAnsi="Arial" w:cs="Arial"/>
        </w:rPr>
        <w:t>受益證券發行期間為一年以內</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下列有關資產基礎商業本票（</w:t>
      </w:r>
      <w:r w:rsidRPr="008D341A">
        <w:rPr>
          <w:rFonts w:ascii="Arial" w:eastAsia="標楷體" w:hAnsi="Arial" w:cs="Arial"/>
        </w:rPr>
        <w:t>ABCP</w:t>
      </w:r>
      <w:r w:rsidRPr="008D341A">
        <w:rPr>
          <w:rFonts w:ascii="Arial" w:eastAsia="標楷體" w:hAnsi="Arial" w:cs="Arial"/>
        </w:rPr>
        <w:t>）架構中所採用的流動性輔助機制之功能，何者有誤？</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(A)</w:t>
      </w:r>
      <w:r w:rsidRPr="008D341A">
        <w:rPr>
          <w:rFonts w:ascii="Arial" w:eastAsia="標楷體" w:hAnsi="Arial" w:cs="Arial"/>
        </w:rPr>
        <w:t>支撐標的資產現金流量的短缺</w:t>
      </w:r>
      <w:r w:rsidRPr="008D341A">
        <w:rPr>
          <w:rFonts w:ascii="Arial" w:eastAsia="標楷體" w:hAnsi="Arial" w:cs="Arial"/>
        </w:rPr>
        <w:tab/>
        <w:t>(B)</w:t>
      </w:r>
      <w:r w:rsidRPr="008D341A">
        <w:rPr>
          <w:rFonts w:ascii="Arial" w:eastAsia="標楷體" w:hAnsi="Arial" w:cs="Arial"/>
        </w:rPr>
        <w:t>支撐標的資產違約的風險</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(C)</w:t>
      </w:r>
      <w:r w:rsidRPr="008D341A">
        <w:rPr>
          <w:rFonts w:ascii="Arial" w:eastAsia="標楷體" w:hAnsi="Arial" w:cs="Arial"/>
        </w:rPr>
        <w:t>有助於取得較佳的信用評等</w:t>
      </w:r>
      <w:r w:rsidRPr="008D341A">
        <w:rPr>
          <w:rFonts w:ascii="Arial" w:eastAsia="標楷體" w:hAnsi="Arial" w:cs="Arial"/>
        </w:rPr>
        <w:tab/>
        <w:t>(D)</w:t>
      </w:r>
      <w:r w:rsidRPr="008D341A">
        <w:rPr>
          <w:rFonts w:ascii="Arial" w:eastAsia="標楷體" w:hAnsi="Arial" w:cs="Arial"/>
        </w:rPr>
        <w:t>幫助證券化導管機構及時支付即將到期的</w:t>
      </w:r>
      <w:r w:rsidRPr="008D341A">
        <w:rPr>
          <w:rFonts w:ascii="Arial" w:eastAsia="標楷體" w:hAnsi="Arial" w:cs="Arial"/>
        </w:rPr>
        <w:t>A</w:t>
      </w:r>
      <w:r>
        <w:rPr>
          <w:rFonts w:ascii="Arial" w:eastAsia="標楷體" w:hAnsi="Arial" w:cs="Arial"/>
        </w:rPr>
        <w:t>BCP</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資產基礎商業本票（</w:t>
      </w:r>
      <w:r w:rsidRPr="008D341A">
        <w:rPr>
          <w:rFonts w:ascii="Arial" w:eastAsia="標楷體" w:hAnsi="Arial" w:cs="Arial"/>
        </w:rPr>
        <w:t>ABCP</w:t>
      </w:r>
      <w:r w:rsidRPr="008D341A">
        <w:rPr>
          <w:rFonts w:ascii="Arial" w:eastAsia="標楷體" w:hAnsi="Arial" w:cs="Arial"/>
        </w:rPr>
        <w:t>）可採用的流動性輔助機制模式</w:t>
      </w:r>
      <w:r>
        <w:rPr>
          <w:rFonts w:ascii="標楷體" w:eastAsia="標楷體" w:hAnsi="標楷體" w:cs="Arial" w:hint="eastAsia"/>
        </w:rPr>
        <w:t>，</w:t>
      </w:r>
      <w:r w:rsidRPr="008D341A">
        <w:rPr>
          <w:rFonts w:ascii="Arial" w:eastAsia="標楷體" w:hAnsi="Arial" w:cs="Arial"/>
        </w:rPr>
        <w:t>不包含下列何者？</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(A)</w:t>
      </w:r>
      <w:r w:rsidRPr="008D341A">
        <w:rPr>
          <w:rFonts w:ascii="Arial" w:eastAsia="標楷體" w:hAnsi="Arial" w:cs="Arial"/>
        </w:rPr>
        <w:t>對外尋求資金做為流動性擔保</w:t>
      </w:r>
      <w:r w:rsidRPr="008D341A">
        <w:rPr>
          <w:rFonts w:ascii="Arial" w:eastAsia="標楷體" w:hAnsi="Arial" w:cs="Arial"/>
        </w:rPr>
        <w:tab/>
        <w:t>(B)</w:t>
      </w:r>
      <w:r w:rsidRPr="008D341A">
        <w:rPr>
          <w:rFonts w:ascii="Arial" w:eastAsia="標楷體" w:hAnsi="Arial" w:cs="Arial"/>
        </w:rPr>
        <w:t>將資產與</w:t>
      </w:r>
      <w:r w:rsidRPr="008D341A">
        <w:rPr>
          <w:rFonts w:ascii="Arial" w:eastAsia="標楷體" w:hAnsi="Arial" w:cs="Arial"/>
        </w:rPr>
        <w:t>ABCP</w:t>
      </w:r>
      <w:r w:rsidRPr="008D341A">
        <w:rPr>
          <w:rFonts w:ascii="Arial" w:eastAsia="標楷體" w:hAnsi="Arial" w:cs="Arial"/>
        </w:rPr>
        <w:t>之到期落點相互配合</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(C)</w:t>
      </w:r>
      <w:r w:rsidRPr="008D341A">
        <w:rPr>
          <w:rFonts w:ascii="Arial" w:eastAsia="標楷體" w:hAnsi="Arial" w:cs="Arial"/>
        </w:rPr>
        <w:t>採用優先／次順位證券</w:t>
      </w:r>
      <w:r w:rsidRPr="008D341A">
        <w:rPr>
          <w:rFonts w:ascii="Arial" w:eastAsia="標楷體" w:hAnsi="Arial" w:cs="Arial"/>
        </w:rPr>
        <w:tab/>
        <w:t>(D)</w:t>
      </w:r>
      <w:r w:rsidRPr="008D341A">
        <w:rPr>
          <w:rFonts w:ascii="Arial" w:eastAsia="標楷體" w:hAnsi="Arial" w:cs="Arial"/>
        </w:rPr>
        <w:t>採用流動性貸款工具</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不動產投資信託憑證與不動產資產信託憑證</w:t>
      </w:r>
      <w:proofErr w:type="gramStart"/>
      <w:r w:rsidRPr="008D341A">
        <w:rPr>
          <w:rFonts w:ascii="Arial" w:eastAsia="標楷體" w:hAnsi="Arial" w:cs="Arial"/>
        </w:rPr>
        <w:t>有何相異</w:t>
      </w:r>
      <w:proofErr w:type="gramEnd"/>
      <w:r w:rsidRPr="008D341A">
        <w:rPr>
          <w:rFonts w:ascii="Arial" w:eastAsia="標楷體" w:hAnsi="Arial" w:cs="Arial"/>
        </w:rPr>
        <w:t>之處？</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(A)</w:t>
      </w:r>
      <w:r w:rsidRPr="008D341A">
        <w:rPr>
          <w:rFonts w:ascii="Arial" w:eastAsia="標楷體" w:hAnsi="Arial" w:cs="Arial"/>
        </w:rPr>
        <w:t>前者之標的資產為不動產股權；後者之標的資產為不動產債權</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(B)</w:t>
      </w:r>
      <w:r w:rsidRPr="008D341A">
        <w:rPr>
          <w:rFonts w:ascii="Arial" w:eastAsia="標楷體" w:hAnsi="Arial" w:cs="Arial"/>
        </w:rPr>
        <w:t>標的資產估價方式不一樣</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(C)</w:t>
      </w:r>
      <w:r w:rsidRPr="008D341A">
        <w:rPr>
          <w:rFonts w:ascii="Arial" w:eastAsia="標楷體" w:hAnsi="Arial" w:cs="Arial"/>
        </w:rPr>
        <w:t>所發行證券性質不一樣</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(D)</w:t>
      </w:r>
      <w:r w:rsidRPr="008D341A">
        <w:rPr>
          <w:rFonts w:ascii="Arial" w:eastAsia="標楷體" w:hAnsi="Arial" w:cs="Arial"/>
        </w:rPr>
        <w:t>前者使用公司制；後者使用信託制</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在美國下面哪一項是不動產投資信託與一般不動產上市公司之相同點？</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(A)</w:t>
      </w:r>
      <w:r w:rsidRPr="008D341A">
        <w:rPr>
          <w:rFonts w:ascii="Arial" w:eastAsia="標楷體" w:hAnsi="Arial" w:cs="Arial"/>
        </w:rPr>
        <w:t>都不須繳納公司所得稅</w:t>
      </w:r>
      <w:r w:rsidRPr="008D341A">
        <w:rPr>
          <w:rFonts w:ascii="Arial" w:eastAsia="標楷體" w:hAnsi="Arial" w:cs="Arial"/>
        </w:rPr>
        <w:tab/>
        <w:t>(B)</w:t>
      </w:r>
      <w:r w:rsidRPr="008D341A">
        <w:rPr>
          <w:rFonts w:ascii="Arial" w:eastAsia="標楷體" w:hAnsi="Arial" w:cs="Arial"/>
        </w:rPr>
        <w:t>都必須配息至營利之</w:t>
      </w:r>
      <w:r w:rsidRPr="008D341A">
        <w:rPr>
          <w:rFonts w:ascii="Arial" w:eastAsia="標楷體" w:hAnsi="Arial" w:cs="Arial"/>
        </w:rPr>
        <w:t>90%</w:t>
      </w:r>
      <w:r w:rsidRPr="008D341A">
        <w:rPr>
          <w:rFonts w:ascii="Arial" w:eastAsia="標楷體" w:hAnsi="Arial" w:cs="Arial"/>
        </w:rPr>
        <w:t>以上</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(C)</w:t>
      </w:r>
      <w:r w:rsidRPr="008D341A">
        <w:rPr>
          <w:rFonts w:ascii="Arial" w:eastAsia="標楷體" w:hAnsi="Arial" w:cs="Arial"/>
        </w:rPr>
        <w:t>都可用公司制度組織</w:t>
      </w:r>
      <w:r w:rsidRPr="008D341A">
        <w:rPr>
          <w:rFonts w:ascii="Arial" w:eastAsia="標楷體" w:hAnsi="Arial" w:cs="Arial"/>
        </w:rPr>
        <w:tab/>
        <w:t>(D)</w:t>
      </w:r>
      <w:r w:rsidRPr="008D341A">
        <w:rPr>
          <w:rFonts w:ascii="Arial" w:eastAsia="標楷體" w:hAnsi="Arial" w:cs="Arial"/>
        </w:rPr>
        <w:t>都是共同基金</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假設其他條件皆允許，請問不動產的部分樓層是否可以承做不動產資產信託？</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(A)</w:t>
      </w:r>
      <w:r w:rsidRPr="008D341A">
        <w:rPr>
          <w:rFonts w:ascii="Arial" w:eastAsia="標楷體" w:hAnsi="Arial" w:cs="Arial"/>
        </w:rPr>
        <w:t>可以</w:t>
      </w:r>
      <w:r w:rsidRPr="008D341A">
        <w:rPr>
          <w:rFonts w:ascii="Arial" w:eastAsia="標楷體" w:hAnsi="Arial" w:cs="Arial"/>
        </w:rPr>
        <w:tab/>
        <w:t>(B)</w:t>
      </w:r>
      <w:r w:rsidRPr="008D341A">
        <w:rPr>
          <w:rFonts w:ascii="Arial" w:eastAsia="標楷體" w:hAnsi="Arial" w:cs="Arial"/>
        </w:rPr>
        <w:t>不可以</w:t>
      </w:r>
      <w:r w:rsidRPr="008D341A">
        <w:rPr>
          <w:rFonts w:ascii="Arial" w:eastAsia="標楷體" w:hAnsi="Arial" w:cs="Arial"/>
        </w:rPr>
        <w:tab/>
        <w:t>(C)</w:t>
      </w:r>
      <w:r w:rsidRPr="008D341A">
        <w:rPr>
          <w:rFonts w:ascii="Arial" w:eastAsia="標楷體" w:hAnsi="Arial" w:cs="Arial"/>
        </w:rPr>
        <w:t>不一定</w:t>
      </w:r>
      <w:r w:rsidRPr="008D341A">
        <w:rPr>
          <w:rFonts w:ascii="Arial" w:eastAsia="標楷體" w:hAnsi="Arial" w:cs="Arial"/>
        </w:rPr>
        <w:tab/>
        <w:t>(D)</w:t>
      </w:r>
      <w:r w:rsidRPr="008D341A">
        <w:rPr>
          <w:rFonts w:ascii="Arial" w:eastAsia="標楷體" w:hAnsi="Arial" w:cs="Arial"/>
        </w:rPr>
        <w:t>選項</w:t>
      </w:r>
      <w:r w:rsidRPr="008D341A">
        <w:rPr>
          <w:rFonts w:ascii="Arial" w:eastAsia="標楷體" w:hAnsi="Arial" w:cs="Arial"/>
        </w:rPr>
        <w:t>(A)</w:t>
      </w:r>
      <w:r>
        <w:rPr>
          <w:rFonts w:ascii="標楷體" w:eastAsia="標楷體" w:hAnsi="標楷體" w:cs="Arial" w:hint="eastAsia"/>
        </w:rPr>
        <w:t>、</w:t>
      </w:r>
      <w:r w:rsidRPr="008D341A">
        <w:rPr>
          <w:rFonts w:ascii="Arial" w:eastAsia="標楷體" w:hAnsi="Arial" w:cs="Arial"/>
        </w:rPr>
        <w:t>(B)</w:t>
      </w:r>
      <w:r>
        <w:rPr>
          <w:rFonts w:ascii="標楷體" w:eastAsia="標楷體" w:hAnsi="標楷體" w:cs="Arial" w:hint="eastAsia"/>
        </w:rPr>
        <w:t>、</w:t>
      </w:r>
      <w:r w:rsidRPr="008D341A">
        <w:rPr>
          <w:rFonts w:ascii="Arial" w:eastAsia="標楷體" w:hAnsi="Arial" w:cs="Arial"/>
        </w:rPr>
        <w:t>(C)</w:t>
      </w:r>
      <w:r w:rsidRPr="008D341A">
        <w:rPr>
          <w:rFonts w:ascii="Arial" w:eastAsia="標楷體" w:hAnsi="Arial" w:cs="Arial"/>
        </w:rPr>
        <w:t>皆非</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不動產資產信託的閒置資金可投資於下列何種投資工具？</w:t>
      </w:r>
    </w:p>
    <w:p w:rsidR="005F3D5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(A)</w:t>
      </w:r>
      <w:r w:rsidRPr="008D341A">
        <w:rPr>
          <w:rFonts w:ascii="Arial" w:eastAsia="標楷體" w:hAnsi="Arial" w:cs="Arial"/>
        </w:rPr>
        <w:t>公債</w:t>
      </w:r>
      <w:r w:rsidRPr="008D341A">
        <w:rPr>
          <w:rFonts w:ascii="Arial" w:eastAsia="標楷體" w:hAnsi="Arial" w:cs="Arial"/>
        </w:rPr>
        <w:tab/>
        <w:t>(B)</w:t>
      </w:r>
      <w:r w:rsidRPr="008D341A">
        <w:rPr>
          <w:rFonts w:ascii="Arial" w:eastAsia="標楷體" w:hAnsi="Arial" w:cs="Arial"/>
        </w:rPr>
        <w:t>金融債券</w:t>
      </w:r>
      <w:r w:rsidRPr="008D341A">
        <w:rPr>
          <w:rFonts w:ascii="Arial" w:eastAsia="標楷體" w:hAnsi="Arial" w:cs="Arial"/>
        </w:rPr>
        <w:tab/>
        <w:t>(C)</w:t>
      </w:r>
      <w:r w:rsidRPr="008D341A">
        <w:rPr>
          <w:rFonts w:ascii="Arial" w:eastAsia="標楷體" w:hAnsi="Arial" w:cs="Arial"/>
        </w:rPr>
        <w:t>國庫券</w:t>
      </w:r>
      <w:r w:rsidRPr="008D341A">
        <w:rPr>
          <w:rFonts w:ascii="Arial" w:eastAsia="標楷體" w:hAnsi="Arial" w:cs="Arial"/>
        </w:rPr>
        <w:tab/>
        <w:t>(D)</w:t>
      </w:r>
      <w:r w:rsidRPr="008D341A">
        <w:rPr>
          <w:rFonts w:ascii="Arial" w:eastAsia="標楷體" w:hAnsi="Arial" w:cs="Arial"/>
        </w:rPr>
        <w:t>選項</w:t>
      </w:r>
      <w:r w:rsidRPr="008D341A">
        <w:rPr>
          <w:rFonts w:ascii="Arial" w:eastAsia="標楷體" w:hAnsi="Arial" w:cs="Arial"/>
        </w:rPr>
        <w:t>(A)</w:t>
      </w:r>
      <w:r>
        <w:rPr>
          <w:rFonts w:ascii="標楷體" w:eastAsia="標楷體" w:hAnsi="標楷體" w:cs="Arial" w:hint="eastAsia"/>
        </w:rPr>
        <w:t>、</w:t>
      </w:r>
      <w:r w:rsidRPr="008D341A">
        <w:rPr>
          <w:rFonts w:ascii="Arial" w:eastAsia="標楷體" w:hAnsi="Arial" w:cs="Arial"/>
        </w:rPr>
        <w:t>(B)</w:t>
      </w:r>
      <w:r>
        <w:rPr>
          <w:rFonts w:ascii="標楷體" w:eastAsia="標楷體" w:hAnsi="標楷體" w:cs="Arial" w:hint="eastAsia"/>
        </w:rPr>
        <w:t>、</w:t>
      </w:r>
      <w:r w:rsidRPr="008D341A">
        <w:rPr>
          <w:rFonts w:ascii="Arial" w:eastAsia="標楷體" w:hAnsi="Arial" w:cs="Arial"/>
        </w:rPr>
        <w:t>(C)</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皆是</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不動產資產信託若</w:t>
      </w:r>
      <w:proofErr w:type="gramStart"/>
      <w:r w:rsidRPr="008D341A">
        <w:rPr>
          <w:rFonts w:ascii="Arial" w:eastAsia="標楷體" w:hAnsi="Arial" w:cs="Arial"/>
        </w:rPr>
        <w:t>採</w:t>
      </w:r>
      <w:proofErr w:type="gramEnd"/>
      <w:r w:rsidRPr="008D341A">
        <w:rPr>
          <w:rFonts w:ascii="Arial" w:eastAsia="標楷體" w:hAnsi="Arial" w:cs="Arial"/>
        </w:rPr>
        <w:t>私募的方式承銷，其投資人人數的上限為何？</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(A)25</w:t>
      </w:r>
      <w:r w:rsidRPr="008D341A">
        <w:rPr>
          <w:rFonts w:ascii="Arial" w:eastAsia="標楷體" w:hAnsi="Arial" w:cs="Arial"/>
        </w:rPr>
        <w:t>人</w:t>
      </w:r>
      <w:r w:rsidRPr="008D341A">
        <w:rPr>
          <w:rFonts w:ascii="Arial" w:eastAsia="標楷體" w:hAnsi="Arial" w:cs="Arial"/>
        </w:rPr>
        <w:tab/>
        <w:t>(B)30</w:t>
      </w:r>
      <w:r w:rsidRPr="008D341A">
        <w:rPr>
          <w:rFonts w:ascii="Arial" w:eastAsia="標楷體" w:hAnsi="Arial" w:cs="Arial"/>
        </w:rPr>
        <w:t>人</w:t>
      </w:r>
      <w:r w:rsidRPr="008D341A">
        <w:rPr>
          <w:rFonts w:ascii="Arial" w:eastAsia="標楷體" w:hAnsi="Arial" w:cs="Arial"/>
        </w:rPr>
        <w:tab/>
        <w:t>(C)35</w:t>
      </w:r>
      <w:r w:rsidRPr="008D341A">
        <w:rPr>
          <w:rFonts w:ascii="Arial" w:eastAsia="標楷體" w:hAnsi="Arial" w:cs="Arial"/>
        </w:rPr>
        <w:t>人</w:t>
      </w:r>
      <w:r w:rsidRPr="008D341A">
        <w:rPr>
          <w:rFonts w:ascii="Arial" w:eastAsia="標楷體" w:hAnsi="Arial" w:cs="Arial"/>
        </w:rPr>
        <w:tab/>
        <w:t>(D)50</w:t>
      </w:r>
      <w:r w:rsidRPr="008D341A">
        <w:rPr>
          <w:rFonts w:ascii="Arial" w:eastAsia="標楷體" w:hAnsi="Arial" w:cs="Arial"/>
        </w:rPr>
        <w:t>人</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不動產資產信託如何處理建物之重大修繕費用？</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(A)</w:t>
      </w:r>
      <w:r w:rsidRPr="008D341A">
        <w:rPr>
          <w:rFonts w:ascii="Arial" w:eastAsia="標楷體" w:hAnsi="Arial" w:cs="Arial"/>
        </w:rPr>
        <w:t>提列在準備金專戶</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(B)</w:t>
      </w:r>
      <w:r w:rsidRPr="008D341A">
        <w:rPr>
          <w:rFonts w:ascii="Arial" w:eastAsia="標楷體" w:hAnsi="Arial" w:cs="Arial"/>
        </w:rPr>
        <w:t>當成當年度的費用扣除，但保留在信託專戶內，以備日後所需</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(C)</w:t>
      </w:r>
      <w:r w:rsidRPr="008D341A">
        <w:rPr>
          <w:rFonts w:ascii="Arial" w:eastAsia="標楷體" w:hAnsi="Arial" w:cs="Arial"/>
        </w:rPr>
        <w:t>每年就修繕，不管需不需要</w:t>
      </w:r>
    </w:p>
    <w:p w:rsidR="00D40A9C"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(D)</w:t>
      </w:r>
      <w:r w:rsidRPr="008D341A">
        <w:rPr>
          <w:rFonts w:ascii="Arial" w:eastAsia="標楷體" w:hAnsi="Arial" w:cs="Arial"/>
        </w:rPr>
        <w:t>選項</w:t>
      </w:r>
      <w:r w:rsidRPr="008D341A">
        <w:rPr>
          <w:rFonts w:ascii="Arial" w:eastAsia="標楷體" w:hAnsi="Arial" w:cs="Arial"/>
        </w:rPr>
        <w:t>(A)</w:t>
      </w:r>
      <w:r>
        <w:rPr>
          <w:rFonts w:ascii="標楷體" w:eastAsia="標楷體" w:hAnsi="標楷體" w:cs="Arial" w:hint="eastAsia"/>
        </w:rPr>
        <w:t>、</w:t>
      </w:r>
      <w:r w:rsidRPr="008D341A">
        <w:rPr>
          <w:rFonts w:ascii="Arial" w:eastAsia="標楷體" w:hAnsi="Arial" w:cs="Arial"/>
        </w:rPr>
        <w:t>(B)</w:t>
      </w:r>
      <w:r>
        <w:rPr>
          <w:rFonts w:ascii="標楷體" w:eastAsia="標楷體" w:hAnsi="標楷體" w:cs="Arial" w:hint="eastAsia"/>
        </w:rPr>
        <w:t>、</w:t>
      </w:r>
      <w:r w:rsidRPr="008D341A">
        <w:rPr>
          <w:rFonts w:ascii="Arial" w:eastAsia="標楷體" w:hAnsi="Arial" w:cs="Arial"/>
        </w:rPr>
        <w:t>(C)</w:t>
      </w:r>
      <w:r w:rsidRPr="008D341A">
        <w:rPr>
          <w:rFonts w:ascii="Arial" w:eastAsia="標楷體" w:hAnsi="Arial" w:cs="Arial"/>
        </w:rPr>
        <w:t>皆非</w:t>
      </w:r>
    </w:p>
    <w:p w:rsidR="000C03B6" w:rsidRDefault="000C03B6" w:rsidP="00D40A9C">
      <w:pPr>
        <w:tabs>
          <w:tab w:val="left" w:pos="2977"/>
          <w:tab w:val="left" w:pos="5387"/>
          <w:tab w:val="left" w:pos="7797"/>
        </w:tabs>
        <w:snapToGrid w:val="0"/>
        <w:spacing w:before="20" w:after="20" w:line="300" w:lineRule="exact"/>
        <w:ind w:firstLine="480"/>
        <w:rPr>
          <w:rFonts w:ascii="Arial" w:eastAsia="標楷體" w:hAnsi="Arial" w:cs="Arial"/>
        </w:rPr>
      </w:pPr>
    </w:p>
    <w:p w:rsidR="000C03B6" w:rsidRPr="008D341A" w:rsidRDefault="000C03B6" w:rsidP="00D40A9C">
      <w:pPr>
        <w:tabs>
          <w:tab w:val="left" w:pos="2977"/>
          <w:tab w:val="left" w:pos="5387"/>
          <w:tab w:val="left" w:pos="7797"/>
        </w:tabs>
        <w:snapToGrid w:val="0"/>
        <w:spacing w:before="20" w:after="20" w:line="300" w:lineRule="exact"/>
        <w:ind w:firstLine="480"/>
        <w:rPr>
          <w:rFonts w:ascii="Arial" w:eastAsia="標楷體" w:hAnsi="Arial" w:cs="Arial"/>
        </w:rPr>
      </w:pP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lastRenderedPageBreak/>
        <w:t>在不動產資產信託的案件中，受益證券通常會有二個到期日，一為預期到期日，一為法定到期日。請問下列敘述何者為真？</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(A)</w:t>
      </w:r>
      <w:r w:rsidRPr="008D341A">
        <w:rPr>
          <w:rFonts w:ascii="Arial" w:eastAsia="標楷體" w:hAnsi="Arial" w:cs="Arial"/>
        </w:rPr>
        <w:t>前者的日期一定會在後者之前</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(B)</w:t>
      </w:r>
      <w:r w:rsidRPr="008D341A">
        <w:rPr>
          <w:rFonts w:ascii="Arial" w:eastAsia="標楷體" w:hAnsi="Arial" w:cs="Arial"/>
        </w:rPr>
        <w:t>前者的日期一定會在後者之後</w:t>
      </w:r>
    </w:p>
    <w:p w:rsidR="00D40A9C" w:rsidRPr="008D341A"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(C)</w:t>
      </w:r>
      <w:r w:rsidRPr="008D341A">
        <w:rPr>
          <w:rFonts w:ascii="Arial" w:eastAsia="標楷體" w:hAnsi="Arial" w:cs="Arial"/>
        </w:rPr>
        <w:t>前者的日期與後者的日期相差只會在三個月內</w:t>
      </w:r>
    </w:p>
    <w:p w:rsidR="00D40A9C" w:rsidRDefault="00D40A9C" w:rsidP="00D40A9C">
      <w:pPr>
        <w:tabs>
          <w:tab w:val="left" w:pos="2977"/>
          <w:tab w:val="left" w:pos="5387"/>
          <w:tab w:val="left" w:pos="7797"/>
        </w:tabs>
        <w:snapToGrid w:val="0"/>
        <w:spacing w:before="20" w:after="20" w:line="300" w:lineRule="exact"/>
        <w:ind w:firstLine="480"/>
        <w:rPr>
          <w:rFonts w:ascii="Arial" w:eastAsia="標楷體" w:hAnsi="Arial" w:cs="Arial"/>
        </w:rPr>
      </w:pPr>
      <w:r w:rsidRPr="008D341A">
        <w:rPr>
          <w:rFonts w:ascii="Arial" w:eastAsia="標楷體" w:hAnsi="Arial" w:cs="Arial"/>
        </w:rPr>
        <w:t>(D)</w:t>
      </w:r>
      <w:r w:rsidRPr="008D341A">
        <w:rPr>
          <w:rFonts w:ascii="Arial" w:eastAsia="標楷體" w:hAnsi="Arial" w:cs="Arial"/>
        </w:rPr>
        <w:t>選項</w:t>
      </w:r>
      <w:r w:rsidRPr="008D341A">
        <w:rPr>
          <w:rFonts w:ascii="Arial" w:eastAsia="標楷體" w:hAnsi="Arial" w:cs="Arial"/>
        </w:rPr>
        <w:t>(A)</w:t>
      </w:r>
      <w:r>
        <w:rPr>
          <w:rFonts w:ascii="標楷體" w:eastAsia="標楷體" w:hAnsi="標楷體" w:cs="Arial" w:hint="eastAsia"/>
        </w:rPr>
        <w:t>、</w:t>
      </w:r>
      <w:r w:rsidRPr="008D341A">
        <w:rPr>
          <w:rFonts w:ascii="Arial" w:eastAsia="標楷體" w:hAnsi="Arial" w:cs="Arial"/>
        </w:rPr>
        <w:t>(B)</w:t>
      </w:r>
      <w:r>
        <w:rPr>
          <w:rFonts w:ascii="標楷體" w:eastAsia="標楷體" w:hAnsi="標楷體" w:cs="Arial" w:hint="eastAsia"/>
        </w:rPr>
        <w:t>、</w:t>
      </w:r>
      <w:r w:rsidRPr="008D341A">
        <w:rPr>
          <w:rFonts w:ascii="Arial" w:eastAsia="標楷體" w:hAnsi="Arial" w:cs="Arial"/>
        </w:rPr>
        <w:t>(C)</w:t>
      </w:r>
      <w:r w:rsidRPr="008D341A">
        <w:rPr>
          <w:rFonts w:ascii="Arial" w:eastAsia="標楷體" w:hAnsi="Arial" w:cs="Arial"/>
        </w:rPr>
        <w:t>皆是</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信用卡債權證券化架構中的超額利差具有何種功能？</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(A)</w:t>
      </w:r>
      <w:r w:rsidRPr="008D341A">
        <w:rPr>
          <w:rFonts w:ascii="Arial" w:eastAsia="標楷體" w:hAnsi="Arial" w:cs="Arial"/>
        </w:rPr>
        <w:t>屬於信用增強方式</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(B)</w:t>
      </w:r>
      <w:r w:rsidRPr="008D341A">
        <w:rPr>
          <w:rFonts w:ascii="Arial" w:eastAsia="標楷體" w:hAnsi="Arial" w:cs="Arial"/>
        </w:rPr>
        <w:t>主要用來彌補投資人因標的資產違約產生的損失</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(C)</w:t>
      </w:r>
      <w:r w:rsidRPr="008D341A">
        <w:rPr>
          <w:rFonts w:ascii="Arial" w:eastAsia="標楷體" w:hAnsi="Arial" w:cs="Arial"/>
        </w:rPr>
        <w:t>承受損失的第一道防線</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(D)</w:t>
      </w:r>
      <w:r w:rsidRPr="008D341A">
        <w:rPr>
          <w:rFonts w:ascii="Arial" w:eastAsia="標楷體" w:hAnsi="Arial" w:cs="Arial"/>
        </w:rPr>
        <w:t>選項</w:t>
      </w:r>
      <w:r w:rsidRPr="008D341A">
        <w:rPr>
          <w:rFonts w:ascii="Arial" w:eastAsia="標楷體" w:hAnsi="Arial" w:cs="Arial"/>
        </w:rPr>
        <w:t>(A)</w:t>
      </w:r>
      <w:r>
        <w:rPr>
          <w:rFonts w:ascii="標楷體" w:eastAsia="標楷體" w:hAnsi="標楷體" w:cs="Arial" w:hint="eastAsia"/>
        </w:rPr>
        <w:t>、</w:t>
      </w:r>
      <w:r w:rsidRPr="008D341A">
        <w:rPr>
          <w:rFonts w:ascii="Arial" w:eastAsia="標楷體" w:hAnsi="Arial" w:cs="Arial"/>
        </w:rPr>
        <w:t>(B)</w:t>
      </w:r>
      <w:r>
        <w:rPr>
          <w:rFonts w:ascii="標楷體" w:eastAsia="標楷體" w:hAnsi="標楷體" w:cs="Arial" w:hint="eastAsia"/>
        </w:rPr>
        <w:t>、</w:t>
      </w:r>
      <w:r w:rsidRPr="008D341A">
        <w:rPr>
          <w:rFonts w:ascii="Arial" w:eastAsia="標楷體" w:hAnsi="Arial" w:cs="Arial"/>
        </w:rPr>
        <w:t>(C)</w:t>
      </w:r>
      <w:r w:rsidRPr="008D341A">
        <w:rPr>
          <w:rFonts w:ascii="Arial" w:eastAsia="標楷體" w:hAnsi="Arial" w:cs="Arial"/>
        </w:rPr>
        <w:t>皆是</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下列何者並非汽車貸款證券化的特性？</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(A)</w:t>
      </w:r>
      <w:r w:rsidRPr="008D341A">
        <w:rPr>
          <w:rFonts w:ascii="Arial" w:eastAsia="標楷體" w:hAnsi="Arial" w:cs="Arial"/>
        </w:rPr>
        <w:t>標的資產屬於</w:t>
      </w:r>
      <w:proofErr w:type="gramStart"/>
      <w:r w:rsidRPr="008D341A">
        <w:rPr>
          <w:rFonts w:ascii="Arial" w:eastAsia="標楷體" w:hAnsi="Arial" w:cs="Arial"/>
        </w:rPr>
        <w:t>攤提型債權</w:t>
      </w:r>
      <w:proofErr w:type="gramEnd"/>
      <w:r w:rsidRPr="008D341A">
        <w:rPr>
          <w:rFonts w:ascii="Arial" w:eastAsia="標楷體" w:hAnsi="Arial" w:cs="Arial"/>
        </w:rPr>
        <w:t>（</w:t>
      </w:r>
      <w:r w:rsidRPr="008D341A">
        <w:rPr>
          <w:rFonts w:ascii="Arial" w:eastAsia="標楷體" w:hAnsi="Arial" w:cs="Arial"/>
        </w:rPr>
        <w:t>Amortization</w:t>
      </w:r>
      <w:r w:rsidRPr="008D341A">
        <w:rPr>
          <w:rFonts w:ascii="Arial" w:eastAsia="標楷體" w:hAnsi="Arial" w:cs="Arial"/>
        </w:rPr>
        <w:t>）</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(B)</w:t>
      </w:r>
      <w:r w:rsidRPr="008D341A">
        <w:rPr>
          <w:rFonts w:ascii="Arial" w:eastAsia="標楷體" w:hAnsi="Arial" w:cs="Arial"/>
        </w:rPr>
        <w:t>投資人重視提前還款風險</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(C)</w:t>
      </w:r>
      <w:r w:rsidRPr="008D341A">
        <w:rPr>
          <w:rFonts w:ascii="Arial" w:eastAsia="標楷體" w:hAnsi="Arial" w:cs="Arial"/>
        </w:rPr>
        <w:t>現金流量較為穩定</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(D)</w:t>
      </w:r>
      <w:r w:rsidRPr="008D341A">
        <w:rPr>
          <w:rFonts w:ascii="Arial" w:eastAsia="標楷體" w:hAnsi="Arial" w:cs="Arial"/>
        </w:rPr>
        <w:t>適合偏好投資期間較短的投資人</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關於信用增強的方式，何者有誤？</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(A)</w:t>
      </w:r>
      <w:r w:rsidRPr="008D341A">
        <w:rPr>
          <w:rFonts w:ascii="Arial" w:eastAsia="標楷體" w:hAnsi="Arial" w:cs="Arial"/>
        </w:rPr>
        <w:t>外部信用增強是由第三者提供保障</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(B)</w:t>
      </w:r>
      <w:r w:rsidRPr="004D3FE3">
        <w:rPr>
          <w:rFonts w:ascii="Arial" w:eastAsia="標楷體" w:hAnsi="Arial" w:cs="Arial"/>
          <w:spacing w:val="-4"/>
        </w:rPr>
        <w:t>提供外部信用增強的機構，在自身的信用評等下降時，其保障的證券化商品也可能被調降信用評等</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(C)</w:t>
      </w:r>
      <w:r w:rsidRPr="008D341A">
        <w:rPr>
          <w:rFonts w:ascii="Arial" w:eastAsia="標楷體" w:hAnsi="Arial" w:cs="Arial"/>
        </w:rPr>
        <w:t>內部信用增強無須任何成本</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(D)</w:t>
      </w:r>
      <w:r w:rsidRPr="008D341A">
        <w:rPr>
          <w:rFonts w:ascii="Arial" w:eastAsia="標楷體" w:hAnsi="Arial" w:cs="Arial"/>
        </w:rPr>
        <w:t>內部信用增強方式的現金流量是來自資產本身</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下列何者非為不動產投資信託受益證券之特性？</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(A)</w:t>
      </w:r>
      <w:r w:rsidRPr="008D341A">
        <w:rPr>
          <w:rFonts w:ascii="Arial" w:eastAsia="標楷體" w:hAnsi="Arial" w:cs="Arial"/>
        </w:rPr>
        <w:t>所有受益證券持有人之求償地位相等</w:t>
      </w:r>
      <w:r w:rsidRPr="008D341A">
        <w:rPr>
          <w:rFonts w:ascii="Arial" w:eastAsia="標楷體" w:hAnsi="Arial" w:cs="Arial"/>
        </w:rPr>
        <w:tab/>
        <w:t>(B)</w:t>
      </w:r>
      <w:r w:rsidRPr="008D341A">
        <w:rPr>
          <w:rFonts w:ascii="Arial" w:eastAsia="標楷體" w:hAnsi="Arial" w:cs="Arial"/>
        </w:rPr>
        <w:t>通常無一定之存續期間</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(C)</w:t>
      </w:r>
      <w:r w:rsidRPr="008D341A">
        <w:rPr>
          <w:rFonts w:ascii="Arial" w:eastAsia="標楷體" w:hAnsi="Arial" w:cs="Arial"/>
        </w:rPr>
        <w:t>為權益性質之受益證券</w:t>
      </w:r>
      <w:r w:rsidRPr="008D341A">
        <w:rPr>
          <w:rFonts w:ascii="Arial" w:eastAsia="標楷體" w:hAnsi="Arial" w:cs="Arial"/>
        </w:rPr>
        <w:tab/>
        <w:t>(D)</w:t>
      </w:r>
      <w:r w:rsidRPr="008D341A">
        <w:rPr>
          <w:rFonts w:ascii="Arial" w:eastAsia="標楷體" w:hAnsi="Arial" w:cs="Arial"/>
        </w:rPr>
        <w:t>有固定之票面利率</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受託機構擬於國外募集或私募不動產投資信託基金投資國內不動產者，於申請核准或申報生效募集、追加募集或</w:t>
      </w:r>
      <w:proofErr w:type="gramStart"/>
      <w:r w:rsidRPr="008D341A">
        <w:rPr>
          <w:rFonts w:ascii="Arial" w:eastAsia="標楷體" w:hAnsi="Arial" w:cs="Arial"/>
        </w:rPr>
        <w:t>私募前</w:t>
      </w:r>
      <w:proofErr w:type="gramEnd"/>
      <w:r w:rsidRPr="008D341A">
        <w:rPr>
          <w:rFonts w:ascii="Arial" w:eastAsia="標楷體" w:hAnsi="Arial" w:cs="Arial"/>
        </w:rPr>
        <w:t>，應先報請下列哪一個單位同意？</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(A)</w:t>
      </w:r>
      <w:r w:rsidRPr="008D341A">
        <w:rPr>
          <w:rFonts w:ascii="Arial" w:eastAsia="標楷體" w:hAnsi="Arial" w:cs="Arial"/>
        </w:rPr>
        <w:t>金管會</w:t>
      </w:r>
      <w:r w:rsidRPr="008D341A">
        <w:rPr>
          <w:rFonts w:ascii="Arial" w:eastAsia="標楷體" w:hAnsi="Arial" w:cs="Arial"/>
        </w:rPr>
        <w:tab/>
      </w:r>
      <w:r w:rsidRPr="008D341A">
        <w:rPr>
          <w:rFonts w:ascii="Arial" w:eastAsia="標楷體" w:hAnsi="Arial" w:cs="Arial"/>
        </w:rPr>
        <w:tab/>
        <w:t>(B)</w:t>
      </w:r>
      <w:r w:rsidRPr="008D341A">
        <w:rPr>
          <w:rFonts w:ascii="Arial" w:eastAsia="標楷體" w:hAnsi="Arial" w:cs="Arial"/>
        </w:rPr>
        <w:t>經濟部</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(C)</w:t>
      </w:r>
      <w:r w:rsidRPr="008D341A">
        <w:rPr>
          <w:rFonts w:ascii="Arial" w:eastAsia="標楷體" w:hAnsi="Arial" w:cs="Arial"/>
        </w:rPr>
        <w:t>外交部</w:t>
      </w:r>
      <w:r w:rsidRPr="008D341A">
        <w:rPr>
          <w:rFonts w:ascii="Arial" w:eastAsia="標楷體" w:hAnsi="Arial" w:cs="Arial"/>
        </w:rPr>
        <w:tab/>
      </w:r>
      <w:r w:rsidRPr="008D341A">
        <w:rPr>
          <w:rFonts w:ascii="Arial" w:eastAsia="標楷體" w:hAnsi="Arial" w:cs="Arial"/>
        </w:rPr>
        <w:tab/>
        <w:t>(D)</w:t>
      </w:r>
      <w:r w:rsidRPr="008D341A">
        <w:rPr>
          <w:rFonts w:ascii="Arial" w:eastAsia="標楷體" w:hAnsi="Arial" w:cs="Arial"/>
        </w:rPr>
        <w:t>中央銀行</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以下對於受託機構之敘述，何者正確？</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(A)</w:t>
      </w:r>
      <w:r w:rsidRPr="008D341A">
        <w:rPr>
          <w:rFonts w:ascii="Arial" w:eastAsia="標楷體" w:hAnsi="Arial" w:cs="Arial"/>
        </w:rPr>
        <w:t>必須是銀行之信託部</w:t>
      </w:r>
      <w:r w:rsidRPr="008D341A">
        <w:rPr>
          <w:rFonts w:ascii="Arial" w:eastAsia="標楷體" w:hAnsi="Arial" w:cs="Arial"/>
        </w:rPr>
        <w:tab/>
        <w:t>(B)</w:t>
      </w:r>
      <w:proofErr w:type="gramStart"/>
      <w:r w:rsidRPr="008D341A">
        <w:rPr>
          <w:rFonts w:ascii="Arial" w:eastAsia="標楷體" w:hAnsi="Arial" w:cs="Arial"/>
        </w:rPr>
        <w:t>不</w:t>
      </w:r>
      <w:proofErr w:type="gramEnd"/>
      <w:r w:rsidRPr="008D341A">
        <w:rPr>
          <w:rFonts w:ascii="Arial" w:eastAsia="標楷體" w:hAnsi="Arial" w:cs="Arial"/>
        </w:rPr>
        <w:t>可是銀行之信託部</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(C)</w:t>
      </w:r>
      <w:r w:rsidRPr="008D341A">
        <w:rPr>
          <w:rFonts w:ascii="Arial" w:eastAsia="標楷體" w:hAnsi="Arial" w:cs="Arial"/>
        </w:rPr>
        <w:t>可以是銀行之信託部</w:t>
      </w:r>
      <w:r w:rsidRPr="008D341A">
        <w:rPr>
          <w:rFonts w:ascii="Arial" w:eastAsia="標楷體" w:hAnsi="Arial" w:cs="Arial"/>
        </w:rPr>
        <w:tab/>
        <w:t>(D)</w:t>
      </w:r>
      <w:r w:rsidRPr="008D341A">
        <w:rPr>
          <w:rFonts w:ascii="Arial" w:eastAsia="標楷體" w:hAnsi="Arial" w:cs="Arial"/>
        </w:rPr>
        <w:t>最好不是銀行之信託部</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下列有關受託機構管理不動產投資信託基金之敘述</w:t>
      </w:r>
      <w:r>
        <w:rPr>
          <w:rFonts w:ascii="標楷體" w:eastAsia="標楷體" w:hAnsi="標楷體" w:cs="Arial" w:hint="eastAsia"/>
        </w:rPr>
        <w:t>，</w:t>
      </w:r>
      <w:r w:rsidRPr="008D341A">
        <w:rPr>
          <w:rFonts w:ascii="Arial" w:eastAsia="標楷體" w:hAnsi="Arial" w:cs="Arial"/>
        </w:rPr>
        <w:t>何者有誤？</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(A)</w:t>
      </w:r>
      <w:r w:rsidRPr="008D341A">
        <w:rPr>
          <w:rFonts w:ascii="Arial" w:eastAsia="標楷體" w:hAnsi="Arial" w:cs="Arial"/>
        </w:rPr>
        <w:t>受託機構不得對受託機構所設立之各不動產投資信託基金及不動產資產</w:t>
      </w:r>
      <w:proofErr w:type="gramStart"/>
      <w:r w:rsidRPr="008D341A">
        <w:rPr>
          <w:rFonts w:ascii="Arial" w:eastAsia="標楷體" w:hAnsi="Arial" w:cs="Arial"/>
        </w:rPr>
        <w:t>信託間為交易</w:t>
      </w:r>
      <w:proofErr w:type="gramEnd"/>
      <w:r w:rsidRPr="008D341A">
        <w:rPr>
          <w:rFonts w:ascii="Arial" w:eastAsia="標楷體" w:hAnsi="Arial" w:cs="Arial"/>
        </w:rPr>
        <w:t>行為</w:t>
      </w:r>
    </w:p>
    <w:p w:rsidR="00D40A9C" w:rsidRPr="008D341A" w:rsidRDefault="00D40A9C" w:rsidP="00D40A9C">
      <w:pPr>
        <w:tabs>
          <w:tab w:val="left" w:pos="2977"/>
          <w:tab w:val="left" w:pos="5387"/>
          <w:tab w:val="left" w:pos="7797"/>
        </w:tabs>
        <w:snapToGrid w:val="0"/>
        <w:spacing w:before="20" w:after="20" w:line="300" w:lineRule="exact"/>
        <w:ind w:leftChars="207" w:left="824" w:hanging="327"/>
        <w:rPr>
          <w:rFonts w:ascii="Arial" w:eastAsia="標楷體" w:hAnsi="Arial" w:cs="Arial"/>
        </w:rPr>
      </w:pPr>
      <w:r w:rsidRPr="008D341A">
        <w:rPr>
          <w:rFonts w:ascii="Arial" w:eastAsia="標楷體" w:hAnsi="Arial" w:cs="Arial"/>
        </w:rPr>
        <w:t>(B)</w:t>
      </w:r>
      <w:r w:rsidRPr="008D341A">
        <w:rPr>
          <w:rFonts w:ascii="Arial" w:eastAsia="標楷體" w:hAnsi="Arial" w:cs="Arial"/>
        </w:rPr>
        <w:t>為使投資人了解不動產投資信託之業務情況，受託機構設置之信託財產評審委員會應至少每月評審信託財產一次</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(C)</w:t>
      </w:r>
      <w:r w:rsidRPr="008D341A">
        <w:rPr>
          <w:rFonts w:ascii="Arial" w:eastAsia="標楷體" w:hAnsi="Arial" w:cs="Arial"/>
        </w:rPr>
        <w:t>受託機構不得將不動產投資信託基金與其自有財產或其他信託財產相互流用</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(D)</w:t>
      </w:r>
      <w:r w:rsidRPr="008D341A">
        <w:rPr>
          <w:rFonts w:ascii="Arial" w:eastAsia="標楷體" w:hAnsi="Arial" w:cs="Arial"/>
        </w:rPr>
        <w:t>受託機構募集或私募之不動產投資信託基金應有獨立之會計</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在不動產投資信託基金上櫃的相關規定中，基金規模至少須達新</w:t>
      </w:r>
      <w:r>
        <w:rPr>
          <w:rFonts w:ascii="Arial" w:eastAsia="標楷體" w:hAnsi="Arial" w:cs="Arial" w:hint="eastAsia"/>
        </w:rPr>
        <w:t>臺</w:t>
      </w:r>
      <w:r w:rsidRPr="008D341A">
        <w:rPr>
          <w:rFonts w:ascii="Arial" w:eastAsia="標楷體" w:hAnsi="Arial" w:cs="Arial"/>
        </w:rPr>
        <w:t>幣幾億元？</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(A)</w:t>
      </w:r>
      <w:r w:rsidRPr="008D341A">
        <w:rPr>
          <w:rFonts w:ascii="Arial" w:eastAsia="標楷體" w:hAnsi="Arial" w:cs="Arial"/>
        </w:rPr>
        <w:t>二十億元整</w:t>
      </w:r>
      <w:r w:rsidRPr="008D341A">
        <w:rPr>
          <w:rFonts w:ascii="Arial" w:eastAsia="標楷體" w:hAnsi="Arial" w:cs="Arial"/>
        </w:rPr>
        <w:tab/>
      </w:r>
      <w:r w:rsidRPr="008D341A">
        <w:rPr>
          <w:rFonts w:ascii="Arial" w:eastAsia="標楷體" w:hAnsi="Arial" w:cs="Arial"/>
        </w:rPr>
        <w:tab/>
        <w:t>(B)</w:t>
      </w:r>
      <w:r w:rsidRPr="008D341A">
        <w:rPr>
          <w:rFonts w:ascii="Arial" w:eastAsia="標楷體" w:hAnsi="Arial" w:cs="Arial"/>
        </w:rPr>
        <w:t>三十億元整</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(C)</w:t>
      </w:r>
      <w:r w:rsidRPr="008D341A">
        <w:rPr>
          <w:rFonts w:ascii="Arial" w:eastAsia="標楷體" w:hAnsi="Arial" w:cs="Arial"/>
        </w:rPr>
        <w:t>四十億元整</w:t>
      </w:r>
      <w:r w:rsidRPr="008D341A">
        <w:rPr>
          <w:rFonts w:ascii="Arial" w:eastAsia="標楷體" w:hAnsi="Arial" w:cs="Arial"/>
        </w:rPr>
        <w:tab/>
      </w:r>
      <w:r w:rsidRPr="008D341A">
        <w:rPr>
          <w:rFonts w:ascii="Arial" w:eastAsia="標楷體" w:hAnsi="Arial" w:cs="Arial"/>
        </w:rPr>
        <w:tab/>
        <w:t>(D)</w:t>
      </w:r>
      <w:r w:rsidRPr="008D341A">
        <w:rPr>
          <w:rFonts w:ascii="Arial" w:eastAsia="標楷體" w:hAnsi="Arial" w:cs="Arial"/>
        </w:rPr>
        <w:t>五十億元整</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不動產投資信託所取得的信用評等最主要是給下列的何者參考？</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(A)</w:t>
      </w:r>
      <w:r w:rsidRPr="008D341A">
        <w:rPr>
          <w:rFonts w:ascii="Arial" w:eastAsia="標楷體" w:hAnsi="Arial" w:cs="Arial"/>
        </w:rPr>
        <w:t>受託機構</w:t>
      </w:r>
      <w:r w:rsidRPr="008D341A">
        <w:rPr>
          <w:rFonts w:ascii="Arial" w:eastAsia="標楷體" w:hAnsi="Arial" w:cs="Arial"/>
        </w:rPr>
        <w:tab/>
      </w:r>
      <w:r w:rsidRPr="008D341A">
        <w:rPr>
          <w:rFonts w:ascii="Arial" w:eastAsia="標楷體" w:hAnsi="Arial" w:cs="Arial"/>
        </w:rPr>
        <w:tab/>
        <w:t>(B)</w:t>
      </w:r>
      <w:r w:rsidRPr="008D341A">
        <w:rPr>
          <w:rFonts w:ascii="Arial" w:eastAsia="標楷體" w:hAnsi="Arial" w:cs="Arial"/>
        </w:rPr>
        <w:t>不動產業主</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(C)</w:t>
      </w:r>
      <w:r w:rsidRPr="008D341A">
        <w:rPr>
          <w:rFonts w:ascii="Arial" w:eastAsia="標楷體" w:hAnsi="Arial" w:cs="Arial"/>
        </w:rPr>
        <w:t>不動產管理機構</w:t>
      </w:r>
      <w:r w:rsidRPr="008D341A">
        <w:rPr>
          <w:rFonts w:ascii="Arial" w:eastAsia="標楷體" w:hAnsi="Arial" w:cs="Arial"/>
        </w:rPr>
        <w:tab/>
      </w:r>
      <w:r w:rsidRPr="008D341A">
        <w:rPr>
          <w:rFonts w:ascii="Arial" w:eastAsia="標楷體" w:hAnsi="Arial" w:cs="Arial"/>
        </w:rPr>
        <w:tab/>
        <w:t>(D)</w:t>
      </w:r>
      <w:r w:rsidRPr="008D341A">
        <w:rPr>
          <w:rFonts w:ascii="Arial" w:eastAsia="標楷體" w:hAnsi="Arial" w:cs="Arial"/>
        </w:rPr>
        <w:t>不動產投資信託的債權人</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lastRenderedPageBreak/>
        <w:t>美國的</w:t>
      </w:r>
      <w:r w:rsidRPr="008D341A">
        <w:rPr>
          <w:rFonts w:ascii="Arial" w:eastAsia="標楷體" w:hAnsi="Arial" w:cs="Arial"/>
        </w:rPr>
        <w:t>REIT</w:t>
      </w:r>
      <w:r>
        <w:rPr>
          <w:rFonts w:ascii="Arial" w:eastAsia="標楷體" w:hAnsi="Arial" w:cs="Arial" w:hint="eastAsia"/>
        </w:rPr>
        <w:t>s</w:t>
      </w:r>
      <w:r>
        <w:rPr>
          <w:rFonts w:ascii="標楷體" w:eastAsia="標楷體" w:hAnsi="標楷體" w:cs="Arial" w:hint="eastAsia"/>
        </w:rPr>
        <w:t>，</w:t>
      </w:r>
      <w:r w:rsidRPr="008D341A">
        <w:rPr>
          <w:rFonts w:ascii="Arial" w:eastAsia="標楷體" w:hAnsi="Arial" w:cs="Arial"/>
        </w:rPr>
        <w:t>依法：</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(A)</w:t>
      </w:r>
      <w:r w:rsidRPr="008D341A">
        <w:rPr>
          <w:rFonts w:ascii="Arial" w:eastAsia="標楷體" w:hAnsi="Arial" w:cs="Arial"/>
        </w:rPr>
        <w:t>須配發盈餘之</w:t>
      </w:r>
      <w:r w:rsidRPr="008D341A">
        <w:rPr>
          <w:rFonts w:ascii="Arial" w:eastAsia="標楷體" w:hAnsi="Arial" w:cs="Arial"/>
        </w:rPr>
        <w:t>90%</w:t>
      </w:r>
      <w:r w:rsidRPr="008D341A">
        <w:rPr>
          <w:rFonts w:ascii="Arial" w:eastAsia="標楷體" w:hAnsi="Arial" w:cs="Arial"/>
        </w:rPr>
        <w:t>以上為股息</w:t>
      </w:r>
      <w:r w:rsidRPr="008D341A">
        <w:rPr>
          <w:rFonts w:ascii="Arial" w:eastAsia="標楷體" w:hAnsi="Arial" w:cs="Arial"/>
        </w:rPr>
        <w:tab/>
        <w:t>(B)</w:t>
      </w:r>
      <w:r w:rsidRPr="008D341A">
        <w:rPr>
          <w:rFonts w:ascii="Arial" w:eastAsia="標楷體" w:hAnsi="Arial" w:cs="Arial"/>
        </w:rPr>
        <w:t>無須配發盈餘</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(C)</w:t>
      </w:r>
      <w:r w:rsidRPr="008D341A">
        <w:rPr>
          <w:rFonts w:ascii="Arial" w:eastAsia="標楷體" w:hAnsi="Arial" w:cs="Arial"/>
        </w:rPr>
        <w:t>無配發盈餘規定</w:t>
      </w:r>
      <w:r w:rsidRPr="008D341A">
        <w:rPr>
          <w:rFonts w:ascii="Arial" w:eastAsia="標楷體" w:hAnsi="Arial" w:cs="Arial"/>
        </w:rPr>
        <w:tab/>
      </w:r>
      <w:r w:rsidRPr="008D341A">
        <w:rPr>
          <w:rFonts w:ascii="Arial" w:eastAsia="標楷體" w:hAnsi="Arial" w:cs="Arial"/>
        </w:rPr>
        <w:tab/>
        <w:t>(D)</w:t>
      </w:r>
      <w:r w:rsidRPr="008D341A">
        <w:rPr>
          <w:rFonts w:ascii="Arial" w:eastAsia="標楷體" w:hAnsi="Arial" w:cs="Arial"/>
        </w:rPr>
        <w:t>配發股息不可超過盈餘之</w:t>
      </w:r>
      <w:r w:rsidRPr="008D341A">
        <w:rPr>
          <w:rFonts w:ascii="Arial" w:eastAsia="標楷體" w:hAnsi="Arial" w:cs="Arial"/>
        </w:rPr>
        <w:t>90%</w:t>
      </w:r>
    </w:p>
    <w:p w:rsidR="00D40A9C" w:rsidRPr="008D341A" w:rsidRDefault="00D40A9C" w:rsidP="000C03B6">
      <w:pPr>
        <w:numPr>
          <w:ilvl w:val="0"/>
          <w:numId w:val="10"/>
        </w:numPr>
        <w:snapToGrid w:val="0"/>
        <w:spacing w:before="60" w:after="60" w:line="300" w:lineRule="atLeast"/>
        <w:ind w:left="480"/>
        <w:rPr>
          <w:rFonts w:ascii="Arial" w:eastAsia="標楷體" w:hAnsi="Arial" w:cs="Arial"/>
        </w:rPr>
      </w:pPr>
      <w:r w:rsidRPr="008D341A">
        <w:rPr>
          <w:rFonts w:ascii="Arial" w:eastAsia="標楷體" w:hAnsi="Arial" w:cs="Arial"/>
        </w:rPr>
        <w:t>臺灣的不動產投資信託規定：</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(A)</w:t>
      </w:r>
      <w:r w:rsidRPr="008D341A">
        <w:rPr>
          <w:rFonts w:ascii="Arial" w:eastAsia="標楷體" w:hAnsi="Arial" w:cs="Arial"/>
        </w:rPr>
        <w:t>不須要配發盈餘</w:t>
      </w:r>
      <w:r w:rsidRPr="008D341A">
        <w:rPr>
          <w:rFonts w:ascii="Arial" w:eastAsia="標楷體" w:hAnsi="Arial" w:cs="Arial"/>
        </w:rPr>
        <w:tab/>
      </w:r>
      <w:r w:rsidRPr="008D341A">
        <w:rPr>
          <w:rFonts w:ascii="Arial" w:eastAsia="標楷體" w:hAnsi="Arial" w:cs="Arial"/>
        </w:rPr>
        <w:tab/>
        <w:t>(B)</w:t>
      </w:r>
      <w:r w:rsidRPr="008D341A">
        <w:rPr>
          <w:rFonts w:ascii="Arial" w:eastAsia="標楷體" w:hAnsi="Arial" w:cs="Arial"/>
        </w:rPr>
        <w:t>必須要配發盈餘達一定比率</w:t>
      </w:r>
    </w:p>
    <w:p w:rsidR="00D40A9C" w:rsidRPr="008D341A" w:rsidRDefault="00D40A9C" w:rsidP="00D40A9C">
      <w:pPr>
        <w:tabs>
          <w:tab w:val="left" w:pos="2977"/>
          <w:tab w:val="left" w:pos="5387"/>
          <w:tab w:val="left" w:pos="7797"/>
        </w:tabs>
        <w:snapToGrid w:val="0"/>
        <w:spacing w:before="20" w:after="20" w:line="300" w:lineRule="exact"/>
        <w:ind w:leftChars="208" w:left="879" w:hanging="380"/>
        <w:rPr>
          <w:rFonts w:ascii="Arial" w:eastAsia="標楷體" w:hAnsi="Arial" w:cs="Arial"/>
        </w:rPr>
      </w:pPr>
      <w:r w:rsidRPr="008D341A">
        <w:rPr>
          <w:rFonts w:ascii="Arial" w:eastAsia="標楷體" w:hAnsi="Arial" w:cs="Arial"/>
        </w:rPr>
        <w:t>(C)</w:t>
      </w:r>
      <w:r w:rsidRPr="008D341A">
        <w:rPr>
          <w:rFonts w:ascii="Arial" w:eastAsia="標楷體" w:hAnsi="Arial" w:cs="Arial"/>
        </w:rPr>
        <w:t>受託機構為配息須繳納營利事業所得稅</w:t>
      </w:r>
      <w:r w:rsidRPr="008D341A">
        <w:rPr>
          <w:rFonts w:ascii="Arial" w:eastAsia="標楷體" w:hAnsi="Arial" w:cs="Arial"/>
        </w:rPr>
        <w:tab/>
        <w:t>(D)</w:t>
      </w:r>
      <w:r w:rsidRPr="008D341A">
        <w:rPr>
          <w:rFonts w:ascii="Arial" w:eastAsia="標楷體" w:hAnsi="Arial" w:cs="Arial"/>
        </w:rPr>
        <w:t>投資人為配息須繳納所得稅</w:t>
      </w:r>
    </w:p>
    <w:p w:rsidR="00D40A9C" w:rsidRDefault="00D40A9C"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1D1545">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Pr="00A65CD5" w:rsidRDefault="0081485A" w:rsidP="0081485A">
      <w:pPr>
        <w:snapToGrid w:val="0"/>
        <w:spacing w:after="24" w:line="360" w:lineRule="atLeast"/>
        <w:rPr>
          <w:rFonts w:ascii="Arial" w:eastAsia="標楷體" w:hAnsi="Arial" w:cs="Arial"/>
          <w:b/>
          <w:sz w:val="32"/>
          <w:szCs w:val="32"/>
        </w:rPr>
      </w:pPr>
      <w:r w:rsidRPr="00A65CD5">
        <w:rPr>
          <w:rFonts w:ascii="Arial" w:eastAsia="標楷體" w:hAnsi="Arial" w:cs="Arial"/>
          <w:b/>
          <w:sz w:val="32"/>
          <w:szCs w:val="32"/>
        </w:rPr>
        <w:lastRenderedPageBreak/>
        <w:t>109</w:t>
      </w:r>
      <w:r w:rsidRPr="00A65CD5">
        <w:rPr>
          <w:rFonts w:ascii="Arial" w:eastAsia="標楷體" w:hAnsi="Arial" w:cs="Arial"/>
          <w:b/>
          <w:sz w:val="32"/>
          <w:szCs w:val="32"/>
        </w:rPr>
        <w:t>年第</w:t>
      </w:r>
      <w:r w:rsidRPr="00A65CD5">
        <w:rPr>
          <w:rFonts w:ascii="Arial" w:eastAsia="標楷體" w:hAnsi="Arial" w:cs="Arial"/>
          <w:b/>
          <w:sz w:val="32"/>
          <w:szCs w:val="32"/>
        </w:rPr>
        <w:t>1</w:t>
      </w:r>
      <w:r w:rsidRPr="00A65CD5">
        <w:rPr>
          <w:rFonts w:ascii="Arial" w:eastAsia="標楷體" w:hAnsi="Arial" w:cs="Arial"/>
          <w:b/>
          <w:sz w:val="32"/>
          <w:szCs w:val="32"/>
        </w:rPr>
        <w:t>次資產證券化基本能力測驗試題</w:t>
      </w:r>
    </w:p>
    <w:p w:rsidR="0081485A" w:rsidRPr="00A65CD5" w:rsidRDefault="0081485A" w:rsidP="0081485A">
      <w:pPr>
        <w:tabs>
          <w:tab w:val="left" w:pos="5640"/>
        </w:tabs>
        <w:snapToGrid w:val="0"/>
        <w:spacing w:after="24"/>
        <w:rPr>
          <w:rFonts w:ascii="Arial" w:eastAsia="標楷體" w:hAnsi="Arial" w:cs="Arial"/>
          <w:b/>
          <w:sz w:val="28"/>
        </w:rPr>
      </w:pPr>
      <w:r w:rsidRPr="00A65CD5">
        <w:rPr>
          <w:rFonts w:ascii="Arial" w:eastAsia="標楷體" w:hAnsi="Arial" w:cs="Arial"/>
          <w:b/>
          <w:sz w:val="28"/>
        </w:rPr>
        <w:t>科目：資產證券化理論與實務</w:t>
      </w:r>
      <w:r w:rsidRPr="00830DC3">
        <w:rPr>
          <w:rFonts w:ascii="標楷體" w:eastAsia="標楷體" w:hAnsi="標楷體" w:cs="Arial"/>
          <w:b/>
          <w:sz w:val="28"/>
        </w:rPr>
        <w:t>(</w:t>
      </w:r>
      <w:r w:rsidRPr="00A65CD5">
        <w:rPr>
          <w:rFonts w:ascii="Arial" w:eastAsia="標楷體" w:hAnsi="Arial" w:cs="Arial"/>
          <w:b/>
          <w:sz w:val="28"/>
        </w:rPr>
        <w:t>含相關法規</w:t>
      </w:r>
      <w:r w:rsidRPr="00830DC3">
        <w:rPr>
          <w:rFonts w:ascii="標楷體" w:eastAsia="標楷體" w:hAnsi="標楷體" w:cs="Arial"/>
          <w:b/>
          <w:sz w:val="28"/>
        </w:rPr>
        <w:t>)(</w:t>
      </w:r>
      <w:r w:rsidRPr="00A65CD5">
        <w:rPr>
          <w:rFonts w:ascii="Arial" w:eastAsia="標楷體" w:hAnsi="Arial" w:cs="Arial"/>
          <w:b/>
          <w:sz w:val="28"/>
        </w:rPr>
        <w:t>第二節</w:t>
      </w:r>
      <w:r w:rsidRPr="00830DC3">
        <w:rPr>
          <w:rFonts w:ascii="標楷體" w:eastAsia="標楷體" w:hAnsi="標楷體" w:cs="Arial"/>
          <w:b/>
          <w:sz w:val="28"/>
        </w:rPr>
        <w:t>)</w:t>
      </w:r>
      <w:r w:rsidRPr="00A65CD5">
        <w:rPr>
          <w:rFonts w:ascii="Arial" w:eastAsia="標楷體" w:hAnsi="Arial" w:cs="Arial"/>
          <w:b/>
          <w:sz w:val="28"/>
        </w:rPr>
        <w:tab/>
      </w:r>
      <w:r w:rsidRPr="00A65CD5">
        <w:rPr>
          <w:rFonts w:ascii="Arial" w:eastAsia="標楷體" w:hAnsi="Arial" w:cs="Arial"/>
          <w:b/>
          <w:sz w:val="28"/>
        </w:rPr>
        <w:tab/>
      </w:r>
      <w:r w:rsidRPr="00A65CD5">
        <w:rPr>
          <w:rFonts w:ascii="Arial" w:eastAsia="標楷體" w:hAnsi="Arial" w:cs="Arial"/>
          <w:b/>
          <w:sz w:val="28"/>
        </w:rPr>
        <w:t>請填應試號碼：</w:t>
      </w:r>
      <w:r w:rsidRPr="00A65CD5">
        <w:rPr>
          <w:rFonts w:ascii="Arial" w:eastAsia="標楷體" w:hAnsi="Arial" w:cs="Arial"/>
          <w:b/>
          <w:sz w:val="28"/>
          <w:u w:val="single"/>
        </w:rPr>
        <w:t xml:space="preserve">            </w:t>
      </w:r>
    </w:p>
    <w:p w:rsidR="0081485A" w:rsidRPr="00A65CD5" w:rsidRDefault="0081485A" w:rsidP="0081485A">
      <w:pPr>
        <w:ind w:left="924" w:hangingChars="391" w:hanging="924"/>
        <w:rPr>
          <w:rFonts w:ascii="Arial" w:eastAsia="標楷體" w:hAnsi="Arial" w:cs="Arial"/>
          <w:b/>
          <w:spacing w:val="-2"/>
        </w:rPr>
      </w:pPr>
      <w:r w:rsidRPr="00A65CD5">
        <w:rPr>
          <w:rFonts w:ascii="細明體" w:eastAsia="細明體" w:hAnsi="細明體" w:cs="細明體" w:hint="eastAsia"/>
          <w:b/>
          <w:spacing w:val="-2"/>
        </w:rPr>
        <w:t>※</w:t>
      </w:r>
      <w:r w:rsidRPr="00A65CD5">
        <w:rPr>
          <w:rFonts w:ascii="Arial" w:eastAsia="標楷體" w:hAnsi="Arial" w:cs="Arial"/>
          <w:b/>
          <w:spacing w:val="-2"/>
        </w:rPr>
        <w:t>注意：考生請在「答案卡」上作答，共</w:t>
      </w:r>
      <w:r w:rsidRPr="00A65CD5">
        <w:rPr>
          <w:rFonts w:ascii="Arial" w:eastAsia="標楷體" w:hAnsi="Arial" w:cs="Arial"/>
          <w:b/>
          <w:spacing w:val="-2"/>
        </w:rPr>
        <w:t>50</w:t>
      </w:r>
      <w:r w:rsidRPr="00A65CD5">
        <w:rPr>
          <w:rFonts w:ascii="Arial" w:eastAsia="標楷體" w:hAnsi="Arial" w:cs="Arial"/>
          <w:b/>
          <w:spacing w:val="-2"/>
        </w:rPr>
        <w:t>題，每題</w:t>
      </w:r>
      <w:r w:rsidRPr="00A65CD5">
        <w:rPr>
          <w:rFonts w:ascii="Arial" w:eastAsia="標楷體" w:hAnsi="Arial" w:cs="Arial"/>
          <w:b/>
          <w:spacing w:val="-2"/>
        </w:rPr>
        <w:t>2</w:t>
      </w:r>
      <w:r w:rsidRPr="00A65CD5">
        <w:rPr>
          <w:rFonts w:ascii="Arial" w:eastAsia="標楷體" w:hAnsi="Arial" w:cs="Arial"/>
          <w:b/>
          <w:spacing w:val="-2"/>
        </w:rPr>
        <w:t>分，每一試題有</w:t>
      </w:r>
      <w:r w:rsidRPr="00A65CD5">
        <w:rPr>
          <w:rFonts w:ascii="Arial" w:eastAsia="標楷體" w:hAnsi="Arial" w:cs="Arial"/>
          <w:b/>
          <w:spacing w:val="-2"/>
        </w:rPr>
        <w:t>(A)(B)(C)(D)</w:t>
      </w:r>
      <w:r w:rsidRPr="00A65CD5">
        <w:rPr>
          <w:rFonts w:ascii="Arial" w:eastAsia="標楷體" w:hAnsi="Arial" w:cs="Arial"/>
          <w:b/>
          <w:spacing w:val="-2"/>
        </w:rPr>
        <w:t>選項，本測驗為單一選擇題，請依題意選出一個正確或最適當的答案</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證券化案件中，「循環期」之設計目的為何？</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解決債務人違約的風險</w:t>
      </w:r>
      <w:r w:rsidRPr="00A65CD5">
        <w:rPr>
          <w:rFonts w:ascii="Arial" w:eastAsia="標楷體" w:hAnsi="Arial" w:cs="Arial"/>
        </w:rPr>
        <w:tab/>
        <w:t>(B)</w:t>
      </w:r>
      <w:r w:rsidRPr="00A65CD5">
        <w:rPr>
          <w:rFonts w:ascii="Arial" w:eastAsia="標楷體" w:hAnsi="Arial" w:cs="Arial"/>
        </w:rPr>
        <w:t>解決現金流量不穩定的風險</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解決利率變動的風險</w:t>
      </w:r>
      <w:r w:rsidRPr="00A65CD5">
        <w:rPr>
          <w:rFonts w:ascii="Arial" w:eastAsia="標楷體" w:hAnsi="Arial" w:cs="Arial"/>
        </w:rPr>
        <w:tab/>
      </w:r>
      <w:r>
        <w:rPr>
          <w:rFonts w:ascii="Arial" w:eastAsia="標楷體" w:hAnsi="Arial" w:cs="Arial" w:hint="eastAsia"/>
        </w:rPr>
        <w:tab/>
      </w:r>
      <w:r w:rsidRPr="00A65CD5">
        <w:rPr>
          <w:rFonts w:ascii="Arial" w:eastAsia="標楷體" w:hAnsi="Arial" w:cs="Arial"/>
        </w:rPr>
        <w:t>(D)</w:t>
      </w:r>
      <w:r w:rsidRPr="00A65CD5">
        <w:rPr>
          <w:rFonts w:ascii="Arial" w:eastAsia="標楷體" w:hAnsi="Arial" w:cs="Arial"/>
        </w:rPr>
        <w:t>解決流動性不足的風險</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在預期市場利率將持續下跌時，不宜投資何種證券化商品？</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純利息組（</w:t>
      </w:r>
      <w:r w:rsidRPr="00A65CD5">
        <w:rPr>
          <w:rFonts w:ascii="Arial" w:eastAsia="標楷體" w:hAnsi="Arial" w:cs="Arial"/>
        </w:rPr>
        <w:t>Interest Only</w:t>
      </w:r>
      <w:r w:rsidRPr="00A65CD5">
        <w:rPr>
          <w:rFonts w:ascii="Arial" w:eastAsia="標楷體" w:hAnsi="Arial" w:cs="Arial"/>
        </w:rPr>
        <w:t>）</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(B)</w:t>
      </w:r>
      <w:r w:rsidRPr="00A65CD5">
        <w:rPr>
          <w:rFonts w:ascii="Arial" w:eastAsia="標楷體" w:hAnsi="Arial" w:cs="Arial"/>
        </w:rPr>
        <w:t>純本金組（</w:t>
      </w:r>
      <w:r w:rsidRPr="00A65CD5">
        <w:rPr>
          <w:rFonts w:ascii="Arial" w:eastAsia="標楷體" w:hAnsi="Arial" w:cs="Arial"/>
        </w:rPr>
        <w:t>Principle Only</w:t>
      </w:r>
      <w:r w:rsidRPr="00A65CD5">
        <w:rPr>
          <w:rFonts w:ascii="Arial" w:eastAsia="標楷體" w:hAnsi="Arial" w:cs="Arial"/>
        </w:rPr>
        <w:t>）</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債券資產證券化（</w:t>
      </w:r>
      <w:r w:rsidRPr="00A65CD5">
        <w:rPr>
          <w:rFonts w:ascii="Arial" w:eastAsia="標楷體" w:hAnsi="Arial" w:cs="Arial"/>
        </w:rPr>
        <w:t>Collateralized Bond Obligations</w:t>
      </w:r>
      <w:r w:rsidRPr="00A65CD5">
        <w:rPr>
          <w:rFonts w:ascii="Arial" w:eastAsia="標楷體" w:hAnsi="Arial" w:cs="Arial"/>
        </w:rPr>
        <w:t>）</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hAnsi="Arial" w:cs="Arial"/>
        </w:rPr>
      </w:pPr>
      <w:r w:rsidRPr="00A65CD5">
        <w:rPr>
          <w:rFonts w:ascii="Arial" w:eastAsia="標楷體" w:hAnsi="Arial" w:cs="Arial"/>
        </w:rPr>
        <w:t>(D)</w:t>
      </w:r>
      <w:r w:rsidRPr="00A65CD5">
        <w:rPr>
          <w:rFonts w:ascii="Arial" w:eastAsia="標楷體" w:hAnsi="Arial" w:cs="Arial"/>
        </w:rPr>
        <w:t>商業不動產抵押貸款證券化（</w:t>
      </w:r>
      <w:r w:rsidRPr="00A65CD5">
        <w:rPr>
          <w:rFonts w:ascii="Arial" w:eastAsia="標楷體" w:hAnsi="Arial" w:cs="Arial"/>
        </w:rPr>
        <w:t>CMBS</w:t>
      </w:r>
      <w:r w:rsidRPr="00A65CD5">
        <w:rPr>
          <w:rFonts w:ascii="Arial" w:eastAsia="標楷體" w:hAnsi="Arial" w:cs="Arial"/>
        </w:rPr>
        <w:t>）</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下列有關資產基礎商業本票（</w:t>
      </w:r>
      <w:r w:rsidRPr="00A65CD5">
        <w:rPr>
          <w:rFonts w:ascii="Arial" w:eastAsia="標楷體" w:hAnsi="Arial" w:cs="Arial"/>
        </w:rPr>
        <w:t>ABCP</w:t>
      </w:r>
      <w:r w:rsidRPr="00A65CD5">
        <w:rPr>
          <w:rFonts w:ascii="Arial" w:eastAsia="標楷體" w:hAnsi="Arial" w:cs="Arial"/>
        </w:rPr>
        <w:t>）與一般商業本票（</w:t>
      </w:r>
      <w:r w:rsidRPr="00A65CD5">
        <w:rPr>
          <w:rFonts w:ascii="Arial" w:eastAsia="標楷體" w:hAnsi="Arial" w:cs="Arial"/>
        </w:rPr>
        <w:t>CP</w:t>
      </w:r>
      <w:r w:rsidRPr="00A65CD5">
        <w:rPr>
          <w:rFonts w:ascii="Arial" w:eastAsia="標楷體" w:hAnsi="Arial" w:cs="Arial"/>
        </w:rPr>
        <w:t>）的敘述，何者有誤？</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發行人皆為資金需求者</w:t>
      </w:r>
      <w:r w:rsidRPr="00A65CD5">
        <w:rPr>
          <w:rFonts w:ascii="Arial" w:eastAsia="標楷體" w:hAnsi="Arial" w:cs="Arial"/>
        </w:rPr>
        <w:tab/>
        <w:t>(B)</w:t>
      </w:r>
      <w:r w:rsidRPr="00A65CD5">
        <w:rPr>
          <w:rFonts w:ascii="Arial" w:eastAsia="標楷體" w:hAnsi="Arial" w:cs="Arial"/>
        </w:rPr>
        <w:t>發行</w:t>
      </w:r>
      <w:proofErr w:type="gramStart"/>
      <w:r w:rsidRPr="00A65CD5">
        <w:rPr>
          <w:rFonts w:ascii="Arial" w:eastAsia="標楷體" w:hAnsi="Arial" w:cs="Arial"/>
        </w:rPr>
        <w:t>期限均為一年</w:t>
      </w:r>
      <w:proofErr w:type="gramEnd"/>
      <w:r w:rsidRPr="00A65CD5">
        <w:rPr>
          <w:rFonts w:ascii="Arial" w:eastAsia="標楷體" w:hAnsi="Arial" w:cs="Arial"/>
        </w:rPr>
        <w:t>以下</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發行</w:t>
      </w:r>
      <w:proofErr w:type="gramStart"/>
      <w:r w:rsidRPr="00A65CD5">
        <w:rPr>
          <w:rFonts w:ascii="Arial" w:eastAsia="標楷體" w:hAnsi="Arial" w:cs="Arial"/>
        </w:rPr>
        <w:t>方式均為折價</w:t>
      </w:r>
      <w:proofErr w:type="gramEnd"/>
      <w:r w:rsidRPr="00A65CD5">
        <w:rPr>
          <w:rFonts w:ascii="Arial" w:eastAsia="標楷體" w:hAnsi="Arial" w:cs="Arial"/>
        </w:rPr>
        <w:t>發行</w:t>
      </w:r>
      <w:r w:rsidRPr="00A65CD5">
        <w:rPr>
          <w:rFonts w:ascii="Arial" w:eastAsia="標楷體" w:hAnsi="Arial" w:cs="Arial"/>
        </w:rPr>
        <w:tab/>
        <w:t>(D)</w:t>
      </w:r>
      <w:proofErr w:type="gramStart"/>
      <w:r w:rsidRPr="00A65CD5">
        <w:rPr>
          <w:rFonts w:ascii="Arial" w:eastAsia="標楷體" w:hAnsi="Arial" w:cs="Arial"/>
        </w:rPr>
        <w:t>投資人均有違約</w:t>
      </w:r>
      <w:proofErr w:type="gramEnd"/>
      <w:r w:rsidRPr="00A65CD5">
        <w:rPr>
          <w:rFonts w:ascii="Arial" w:eastAsia="標楷體" w:hAnsi="Arial" w:cs="Arial"/>
        </w:rPr>
        <w:t>風險</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一般而言，下列何種證券化商品會設計循環期間？</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汽車貸款債權證券化</w:t>
      </w:r>
      <w:r>
        <w:rPr>
          <w:rFonts w:ascii="Arial" w:eastAsia="標楷體" w:hAnsi="Arial" w:cs="Arial" w:hint="eastAsia"/>
        </w:rPr>
        <w:tab/>
      </w:r>
      <w:r w:rsidRPr="00A65CD5">
        <w:rPr>
          <w:rFonts w:ascii="Arial" w:eastAsia="標楷體" w:hAnsi="Arial" w:cs="Arial"/>
        </w:rPr>
        <w:tab/>
        <w:t>(B)</w:t>
      </w:r>
      <w:r w:rsidRPr="00A65CD5">
        <w:rPr>
          <w:rFonts w:ascii="Arial" w:eastAsia="標楷體" w:hAnsi="Arial" w:cs="Arial"/>
        </w:rPr>
        <w:t>住宅抵押債權證券化</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信用卡債權證券化</w:t>
      </w:r>
      <w:r w:rsidRPr="00A65CD5">
        <w:rPr>
          <w:rFonts w:ascii="Arial" w:eastAsia="標楷體" w:hAnsi="Arial" w:cs="Arial"/>
        </w:rPr>
        <w:tab/>
      </w:r>
      <w:r w:rsidRPr="00A65CD5">
        <w:rPr>
          <w:rFonts w:ascii="Arial" w:eastAsia="標楷體" w:hAnsi="Arial" w:cs="Arial"/>
        </w:rPr>
        <w:tab/>
        <w:t>(D)</w:t>
      </w:r>
      <w:r w:rsidRPr="00A65CD5">
        <w:rPr>
          <w:rFonts w:ascii="Arial" w:eastAsia="標楷體" w:hAnsi="Arial" w:cs="Arial"/>
        </w:rPr>
        <w:t>企業貸款債權證券化</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有關商業不動產抵押貸款證券化（</w:t>
      </w:r>
      <w:r w:rsidRPr="00A65CD5">
        <w:rPr>
          <w:rFonts w:ascii="Arial" w:eastAsia="標楷體" w:hAnsi="Arial" w:cs="Arial"/>
        </w:rPr>
        <w:t>CMBS</w:t>
      </w:r>
      <w:r w:rsidRPr="00A65CD5">
        <w:rPr>
          <w:rFonts w:ascii="Arial" w:eastAsia="標楷體" w:hAnsi="Arial" w:cs="Arial"/>
        </w:rPr>
        <w:t>）與不動產資產信託證券化（</w:t>
      </w:r>
      <w:r w:rsidRPr="00A65CD5">
        <w:rPr>
          <w:rFonts w:ascii="Arial" w:eastAsia="標楷體" w:hAnsi="Arial" w:cs="Arial"/>
        </w:rPr>
        <w:t>REAT</w:t>
      </w:r>
      <w:r w:rsidRPr="00A65CD5">
        <w:rPr>
          <w:rFonts w:ascii="Arial" w:eastAsia="標楷體" w:hAnsi="Arial" w:cs="Arial"/>
        </w:rPr>
        <w:t>）的差異，何者有誤？</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標的</w:t>
      </w:r>
      <w:proofErr w:type="gramStart"/>
      <w:r w:rsidRPr="00A65CD5">
        <w:rPr>
          <w:rFonts w:ascii="Arial" w:eastAsia="標楷體" w:hAnsi="Arial" w:cs="Arial"/>
        </w:rPr>
        <w:t>資產均為實質</w:t>
      </w:r>
      <w:proofErr w:type="gramEnd"/>
      <w:r w:rsidRPr="00A65CD5">
        <w:rPr>
          <w:rFonts w:ascii="Arial" w:eastAsia="標楷體" w:hAnsi="Arial" w:cs="Arial"/>
        </w:rPr>
        <w:t>不動產</w:t>
      </w:r>
      <w:r w:rsidRPr="00A65CD5">
        <w:rPr>
          <w:rFonts w:ascii="Arial" w:eastAsia="標楷體" w:hAnsi="Arial" w:cs="Arial"/>
        </w:rPr>
        <w:tab/>
        <w:t>(B)</w:t>
      </w:r>
      <w:r w:rsidRPr="00A65CD5">
        <w:rPr>
          <w:rFonts w:ascii="Arial" w:eastAsia="標楷體" w:hAnsi="Arial" w:cs="Arial"/>
        </w:rPr>
        <w:t>證券化商品發行</w:t>
      </w:r>
      <w:proofErr w:type="gramStart"/>
      <w:r w:rsidRPr="00A65CD5">
        <w:rPr>
          <w:rFonts w:ascii="Arial" w:eastAsia="標楷體" w:hAnsi="Arial" w:cs="Arial"/>
        </w:rPr>
        <w:t>期間均為長</w:t>
      </w:r>
      <w:proofErr w:type="gramEnd"/>
      <w:r w:rsidRPr="00A65CD5">
        <w:rPr>
          <w:rFonts w:ascii="Arial" w:eastAsia="標楷體" w:hAnsi="Arial" w:cs="Arial"/>
        </w:rPr>
        <w:t>天期</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提前清償風險並非投資人主要考量重點</w:t>
      </w:r>
      <w:r w:rsidRPr="00A65CD5">
        <w:rPr>
          <w:rFonts w:ascii="Arial" w:eastAsia="標楷體" w:hAnsi="Arial" w:cs="Arial"/>
        </w:rPr>
        <w:tab/>
        <w:t>(D)</w:t>
      </w:r>
      <w:proofErr w:type="gramStart"/>
      <w:r w:rsidRPr="00A65CD5">
        <w:rPr>
          <w:rFonts w:ascii="Arial" w:eastAsia="標楷體" w:hAnsi="Arial" w:cs="Arial"/>
        </w:rPr>
        <w:t>均有固定</w:t>
      </w:r>
      <w:proofErr w:type="gramEnd"/>
      <w:r w:rsidRPr="00A65CD5">
        <w:rPr>
          <w:rFonts w:ascii="Arial" w:eastAsia="標楷體" w:hAnsi="Arial" w:cs="Arial"/>
        </w:rPr>
        <w:t>配息比率</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有關不動產證券化之功能，何者正確？</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增加不動產籌資管道</w:t>
      </w:r>
      <w:r>
        <w:rPr>
          <w:rFonts w:ascii="Arial" w:eastAsia="標楷體" w:hAnsi="Arial" w:cs="Arial" w:hint="eastAsia"/>
        </w:rPr>
        <w:tab/>
      </w:r>
      <w:r w:rsidRPr="00A65CD5">
        <w:rPr>
          <w:rFonts w:ascii="Arial" w:eastAsia="標楷體" w:hAnsi="Arial" w:cs="Arial"/>
        </w:rPr>
        <w:tab/>
        <w:t>(B)</w:t>
      </w:r>
      <w:r w:rsidRPr="00A65CD5">
        <w:rPr>
          <w:rFonts w:ascii="Arial" w:eastAsia="標楷體" w:hAnsi="Arial" w:cs="Arial"/>
        </w:rPr>
        <w:t>促進金融商品多元化</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健全不動產市場機能</w:t>
      </w:r>
      <w:r>
        <w:rPr>
          <w:rFonts w:ascii="Arial" w:eastAsia="標楷體" w:hAnsi="Arial" w:cs="Arial" w:hint="eastAsia"/>
        </w:rPr>
        <w:tab/>
      </w:r>
      <w:r w:rsidRPr="00A65CD5">
        <w:rPr>
          <w:rFonts w:ascii="Arial" w:eastAsia="標楷體" w:hAnsi="Arial" w:cs="Arial"/>
        </w:rPr>
        <w:tab/>
        <w:t>(D)</w:t>
      </w:r>
      <w:r w:rsidRPr="00A65CD5">
        <w:rPr>
          <w:rFonts w:ascii="Arial" w:eastAsia="標楷體" w:hAnsi="Arial" w:cs="Arial"/>
        </w:rPr>
        <w:t>選項</w:t>
      </w:r>
      <w:r w:rsidRPr="00A65CD5">
        <w:rPr>
          <w:rFonts w:ascii="Arial" w:eastAsia="標楷體" w:hAnsi="Arial" w:cs="Arial"/>
        </w:rPr>
        <w:t>(A)</w:t>
      </w:r>
      <w:r>
        <w:rPr>
          <w:rFonts w:ascii="標楷體" w:eastAsia="標楷體" w:hAnsi="標楷體" w:cs="Arial" w:hint="eastAsia"/>
        </w:rPr>
        <w:t>、</w:t>
      </w:r>
      <w:r w:rsidRPr="00A65CD5">
        <w:rPr>
          <w:rFonts w:ascii="Arial" w:eastAsia="標楷體" w:hAnsi="Arial" w:cs="Arial"/>
        </w:rPr>
        <w:t>(B)</w:t>
      </w:r>
      <w:r>
        <w:rPr>
          <w:rFonts w:ascii="標楷體" w:eastAsia="標楷體" w:hAnsi="標楷體" w:cs="Arial" w:hint="eastAsia"/>
        </w:rPr>
        <w:t>、</w:t>
      </w:r>
      <w:r w:rsidRPr="00A65CD5">
        <w:rPr>
          <w:rFonts w:ascii="Arial" w:eastAsia="標楷體" w:hAnsi="Arial" w:cs="Arial"/>
        </w:rPr>
        <w:t>(C)</w:t>
      </w:r>
      <w:r w:rsidRPr="00A65CD5">
        <w:rPr>
          <w:rFonts w:ascii="Arial" w:eastAsia="標楷體" w:hAnsi="Arial" w:cs="Arial"/>
        </w:rPr>
        <w:t>皆是</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有關美國權益型</w:t>
      </w:r>
      <w:r w:rsidRPr="00A65CD5">
        <w:rPr>
          <w:rFonts w:ascii="Arial" w:eastAsia="標楷體" w:hAnsi="Arial" w:cs="Arial"/>
        </w:rPr>
        <w:t>REITs</w:t>
      </w:r>
      <w:r w:rsidRPr="00A65CD5">
        <w:rPr>
          <w:rFonts w:ascii="Arial" w:eastAsia="標楷體" w:hAnsi="Arial" w:cs="Arial"/>
        </w:rPr>
        <w:t>的敘述</w:t>
      </w:r>
      <w:r>
        <w:rPr>
          <w:rFonts w:ascii="標楷體" w:eastAsia="標楷體" w:hAnsi="標楷體" w:cs="Arial" w:hint="eastAsia"/>
        </w:rPr>
        <w:t>，</w:t>
      </w:r>
      <w:r w:rsidRPr="00A65CD5">
        <w:rPr>
          <w:rFonts w:ascii="Arial" w:eastAsia="標楷體" w:hAnsi="Arial" w:cs="Arial"/>
        </w:rPr>
        <w:t>何者有誤？</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主要投資於具有收益的不動產</w:t>
      </w:r>
      <w:r w:rsidRPr="00A65CD5">
        <w:rPr>
          <w:rFonts w:ascii="Arial" w:eastAsia="標楷體" w:hAnsi="Arial" w:cs="Arial"/>
        </w:rPr>
        <w:tab/>
        <w:t>(B)</w:t>
      </w:r>
      <w:r w:rsidRPr="00A65CD5">
        <w:rPr>
          <w:rFonts w:ascii="Arial" w:eastAsia="標楷體" w:hAnsi="Arial" w:cs="Arial"/>
        </w:rPr>
        <w:t>主要投資於不動產相關債權</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主要收益來自於不動產租金收入</w:t>
      </w:r>
      <w:r w:rsidRPr="00A65CD5">
        <w:rPr>
          <w:rFonts w:ascii="Arial" w:eastAsia="標楷體" w:hAnsi="Arial" w:cs="Arial"/>
        </w:rPr>
        <w:tab/>
        <w:t>(D)</w:t>
      </w:r>
      <w:r w:rsidRPr="00A65CD5">
        <w:rPr>
          <w:rFonts w:ascii="Arial" w:eastAsia="標楷體" w:hAnsi="Arial" w:cs="Arial"/>
        </w:rPr>
        <w:t>由專業人員進行管理</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臺灣發行的</w:t>
      </w:r>
      <w:r w:rsidRPr="00A65CD5">
        <w:rPr>
          <w:rFonts w:ascii="Arial" w:eastAsia="標楷體" w:hAnsi="Arial" w:cs="Arial"/>
        </w:rPr>
        <w:t>REITs</w:t>
      </w:r>
      <w:r w:rsidRPr="00A65CD5">
        <w:rPr>
          <w:rFonts w:ascii="Arial" w:eastAsia="標楷體" w:hAnsi="Arial" w:cs="Arial"/>
        </w:rPr>
        <w:t>類型較近似於美國何種類型</w:t>
      </w:r>
      <w:r w:rsidRPr="00A65CD5">
        <w:rPr>
          <w:rFonts w:ascii="Arial" w:eastAsia="標楷體" w:hAnsi="Arial" w:cs="Arial"/>
        </w:rPr>
        <w:t>REITs</w:t>
      </w:r>
      <w:r w:rsidRPr="00A65CD5">
        <w:rPr>
          <w:rFonts w:ascii="Arial" w:eastAsia="標楷體" w:hAnsi="Arial" w:cs="Arial"/>
        </w:rPr>
        <w:t>？</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權益型</w:t>
      </w:r>
      <w:r w:rsidRPr="00A65CD5">
        <w:rPr>
          <w:rFonts w:ascii="Arial" w:eastAsia="標楷體" w:hAnsi="Arial" w:cs="Arial"/>
        </w:rPr>
        <w:t>REITs</w:t>
      </w:r>
      <w:r w:rsidRPr="00A65CD5">
        <w:rPr>
          <w:rFonts w:ascii="Arial" w:eastAsia="標楷體" w:hAnsi="Arial" w:cs="Arial"/>
        </w:rPr>
        <w:tab/>
        <w:t>(B)</w:t>
      </w:r>
      <w:r w:rsidRPr="00A65CD5">
        <w:rPr>
          <w:rFonts w:ascii="Arial" w:eastAsia="標楷體" w:hAnsi="Arial" w:cs="Arial"/>
        </w:rPr>
        <w:t>抵押型</w:t>
      </w:r>
      <w:r w:rsidRPr="00A65CD5">
        <w:rPr>
          <w:rFonts w:ascii="Arial" w:eastAsia="標楷體" w:hAnsi="Arial" w:cs="Arial"/>
        </w:rPr>
        <w:t>REITs</w:t>
      </w:r>
      <w:r w:rsidRPr="00A65CD5">
        <w:rPr>
          <w:rFonts w:ascii="Arial" w:eastAsia="標楷體" w:hAnsi="Arial" w:cs="Arial"/>
        </w:rPr>
        <w:tab/>
        <w:t>(C)</w:t>
      </w:r>
      <w:r w:rsidRPr="00A65CD5">
        <w:rPr>
          <w:rFonts w:ascii="Arial" w:eastAsia="標楷體" w:hAnsi="Arial" w:cs="Arial"/>
        </w:rPr>
        <w:t>選項</w:t>
      </w:r>
      <w:r w:rsidRPr="00A65CD5">
        <w:rPr>
          <w:rFonts w:ascii="Arial" w:eastAsia="標楷體" w:hAnsi="Arial" w:cs="Arial"/>
        </w:rPr>
        <w:t>(A)</w:t>
      </w:r>
      <w:r>
        <w:rPr>
          <w:rFonts w:ascii="標楷體" w:eastAsia="標楷體" w:hAnsi="標楷體" w:cs="Arial" w:hint="eastAsia"/>
        </w:rPr>
        <w:t>、</w:t>
      </w:r>
      <w:r w:rsidRPr="00A65CD5">
        <w:rPr>
          <w:rFonts w:ascii="Arial" w:eastAsia="標楷體" w:hAnsi="Arial" w:cs="Arial"/>
        </w:rPr>
        <w:t>(B)</w:t>
      </w:r>
      <w:r w:rsidRPr="00A65CD5">
        <w:rPr>
          <w:rFonts w:ascii="Arial" w:eastAsia="標楷體" w:hAnsi="Arial" w:cs="Arial"/>
        </w:rPr>
        <w:t>皆是</w:t>
      </w:r>
      <w:r w:rsidRPr="00A65CD5">
        <w:rPr>
          <w:rFonts w:ascii="Arial" w:eastAsia="標楷體" w:hAnsi="Arial" w:cs="Arial"/>
        </w:rPr>
        <w:tab/>
        <w:t>(D)</w:t>
      </w:r>
      <w:r w:rsidRPr="00A65CD5">
        <w:rPr>
          <w:rFonts w:ascii="Arial" w:eastAsia="標楷體" w:hAnsi="Arial" w:cs="Arial"/>
        </w:rPr>
        <w:t>選項</w:t>
      </w:r>
      <w:r w:rsidRPr="00A65CD5">
        <w:rPr>
          <w:rFonts w:ascii="Arial" w:eastAsia="標楷體" w:hAnsi="Arial" w:cs="Arial"/>
        </w:rPr>
        <w:t>(A)</w:t>
      </w:r>
      <w:r>
        <w:rPr>
          <w:rFonts w:ascii="標楷體" w:eastAsia="標楷體" w:hAnsi="標楷體" w:cs="Arial" w:hint="eastAsia"/>
        </w:rPr>
        <w:t>、</w:t>
      </w:r>
      <w:r w:rsidRPr="00A65CD5">
        <w:rPr>
          <w:rFonts w:ascii="Arial" w:eastAsia="標楷體" w:hAnsi="Arial" w:cs="Arial"/>
        </w:rPr>
        <w:t>(B)</w:t>
      </w:r>
      <w:r w:rsidRPr="00A65CD5">
        <w:rPr>
          <w:rFonts w:ascii="Arial" w:eastAsia="標楷體" w:hAnsi="Arial" w:cs="Arial"/>
        </w:rPr>
        <w:t>皆非</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配合不動產變現性較低的特性，</w:t>
      </w:r>
      <w:r w:rsidRPr="00A65CD5">
        <w:rPr>
          <w:rFonts w:ascii="Arial" w:eastAsia="標楷體" w:hAnsi="Arial" w:cs="Arial"/>
        </w:rPr>
        <w:t>REITs</w:t>
      </w:r>
      <w:r w:rsidRPr="00A65CD5">
        <w:rPr>
          <w:rFonts w:ascii="Arial" w:eastAsia="標楷體" w:hAnsi="Arial" w:cs="Arial"/>
        </w:rPr>
        <w:t>通常以何種型態基金發行？</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開放型基金</w:t>
      </w:r>
      <w:r w:rsidRPr="00A65CD5">
        <w:rPr>
          <w:rFonts w:ascii="Arial" w:eastAsia="標楷體" w:hAnsi="Arial" w:cs="Arial"/>
        </w:rPr>
        <w:tab/>
        <w:t>(B)</w:t>
      </w:r>
      <w:r w:rsidRPr="00A65CD5">
        <w:rPr>
          <w:rFonts w:ascii="Arial" w:eastAsia="標楷體" w:hAnsi="Arial" w:cs="Arial"/>
        </w:rPr>
        <w:t>封閉型基金</w:t>
      </w:r>
      <w:r w:rsidRPr="00A65CD5">
        <w:rPr>
          <w:rFonts w:ascii="Arial" w:eastAsia="標楷體" w:hAnsi="Arial" w:cs="Arial"/>
        </w:rPr>
        <w:tab/>
        <w:t>(C)</w:t>
      </w:r>
      <w:r w:rsidRPr="00A65CD5">
        <w:rPr>
          <w:rFonts w:ascii="Arial" w:eastAsia="標楷體" w:hAnsi="Arial" w:cs="Arial"/>
        </w:rPr>
        <w:t>指數型基金</w:t>
      </w:r>
      <w:r w:rsidRPr="00A65CD5">
        <w:rPr>
          <w:rFonts w:ascii="Arial" w:eastAsia="標楷體" w:hAnsi="Arial" w:cs="Arial"/>
        </w:rPr>
        <w:tab/>
        <w:t>(D)</w:t>
      </w:r>
      <w:r w:rsidRPr="00A65CD5">
        <w:rPr>
          <w:rFonts w:ascii="Arial" w:eastAsia="標楷體" w:hAnsi="Arial" w:cs="Arial"/>
        </w:rPr>
        <w:t>混合型基金</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有關採用封閉型基金發行的</w:t>
      </w:r>
      <w:r w:rsidRPr="00A65CD5">
        <w:rPr>
          <w:rFonts w:ascii="Arial" w:eastAsia="標楷體" w:hAnsi="Arial" w:cs="Arial"/>
        </w:rPr>
        <w:t>REITs</w:t>
      </w:r>
      <w:r w:rsidRPr="00A65CD5">
        <w:rPr>
          <w:rFonts w:ascii="Arial" w:eastAsia="標楷體" w:hAnsi="Arial" w:cs="Arial"/>
        </w:rPr>
        <w:t>，下列特性何者有誤？</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投資人須透過證券交易所進行買賣</w:t>
      </w:r>
      <w:r w:rsidRPr="00A65CD5">
        <w:rPr>
          <w:rFonts w:ascii="Arial" w:eastAsia="標楷體" w:hAnsi="Arial" w:cs="Arial"/>
        </w:rPr>
        <w:tab/>
        <w:t>(B)</w:t>
      </w:r>
      <w:r w:rsidRPr="00A65CD5">
        <w:rPr>
          <w:rFonts w:ascii="Arial" w:eastAsia="標楷體" w:hAnsi="Arial" w:cs="Arial"/>
        </w:rPr>
        <w:t>基金市價與淨值一致</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投資人不得任意要求發行人贖回基金</w:t>
      </w:r>
      <w:r w:rsidRPr="00A65CD5">
        <w:rPr>
          <w:rFonts w:ascii="Arial" w:eastAsia="標楷體" w:hAnsi="Arial" w:cs="Arial"/>
        </w:rPr>
        <w:tab/>
        <w:t>(D)</w:t>
      </w:r>
      <w:r w:rsidRPr="00A65CD5">
        <w:rPr>
          <w:rFonts w:ascii="Arial" w:eastAsia="標楷體" w:hAnsi="Arial" w:cs="Arial"/>
        </w:rPr>
        <w:t>基金規模固定</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下列有關</w:t>
      </w:r>
      <w:r w:rsidRPr="00A65CD5">
        <w:rPr>
          <w:rFonts w:ascii="Arial" w:eastAsia="標楷體" w:hAnsi="Arial" w:cs="Arial"/>
        </w:rPr>
        <w:t>REITs</w:t>
      </w:r>
      <w:r w:rsidRPr="00A65CD5">
        <w:rPr>
          <w:rFonts w:ascii="Arial" w:eastAsia="標楷體" w:hAnsi="Arial" w:cs="Arial"/>
        </w:rPr>
        <w:t>的敘述，何者有誤？</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通常由發起人買回次順位證券做為信用增強</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(B)</w:t>
      </w:r>
      <w:r w:rsidRPr="00A65CD5">
        <w:rPr>
          <w:rFonts w:ascii="Arial" w:eastAsia="標楷體" w:hAnsi="Arial" w:cs="Arial"/>
        </w:rPr>
        <w:t>一般不訂定存續期間</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收益來自不動產租金收入多寡</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(D)</w:t>
      </w:r>
      <w:r w:rsidRPr="00A65CD5">
        <w:rPr>
          <w:rFonts w:ascii="Arial" w:eastAsia="標楷體" w:hAnsi="Arial" w:cs="Arial"/>
        </w:rPr>
        <w:t>一般不訂定票面利率</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加權平均壽命（</w:t>
      </w:r>
      <w:r w:rsidRPr="00A65CD5">
        <w:rPr>
          <w:rFonts w:ascii="Arial" w:eastAsia="標楷體" w:hAnsi="Arial" w:cs="Arial"/>
        </w:rPr>
        <w:t>Weighted Average Life</w:t>
      </w:r>
      <w:r w:rsidRPr="00A65CD5">
        <w:rPr>
          <w:rFonts w:ascii="Arial" w:eastAsia="標楷體" w:hAnsi="Arial" w:cs="Arial"/>
        </w:rPr>
        <w:t>）可用於評估：</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(A)CMO</w:t>
      </w:r>
      <w:r w:rsidRPr="00A65CD5">
        <w:rPr>
          <w:rFonts w:ascii="Arial" w:eastAsia="標楷體" w:hAnsi="Arial" w:cs="Arial"/>
        </w:rPr>
        <w:t>各組證券的壽命</w:t>
      </w:r>
      <w:r>
        <w:rPr>
          <w:rFonts w:ascii="Arial" w:eastAsia="標楷體" w:hAnsi="Arial" w:cs="Arial"/>
        </w:rPr>
        <w:tab/>
      </w:r>
      <w:r w:rsidRPr="00A65CD5">
        <w:rPr>
          <w:rFonts w:ascii="Arial" w:eastAsia="標楷體" w:hAnsi="Arial" w:cs="Arial"/>
        </w:rPr>
        <w:t>(B)</w:t>
      </w:r>
      <w:proofErr w:type="gramStart"/>
      <w:r w:rsidRPr="00A65CD5">
        <w:rPr>
          <w:rFonts w:ascii="Arial" w:eastAsia="標楷體" w:hAnsi="Arial" w:cs="Arial"/>
        </w:rPr>
        <w:t>車貸轉付</w:t>
      </w:r>
      <w:proofErr w:type="gramEnd"/>
      <w:r w:rsidRPr="00A65CD5">
        <w:rPr>
          <w:rFonts w:ascii="Arial" w:eastAsia="標楷體" w:hAnsi="Arial" w:cs="Arial"/>
        </w:rPr>
        <w:t>證券壽命</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房貸轉付證券壽命</w:t>
      </w:r>
      <w:r w:rsidRPr="00A65CD5">
        <w:rPr>
          <w:rFonts w:ascii="Arial" w:eastAsia="標楷體" w:hAnsi="Arial" w:cs="Arial"/>
        </w:rPr>
        <w:tab/>
      </w:r>
      <w:r w:rsidRPr="00A65CD5">
        <w:rPr>
          <w:rFonts w:ascii="Arial" w:eastAsia="標楷體" w:hAnsi="Arial" w:cs="Arial"/>
        </w:rPr>
        <w:tab/>
        <w:t>(D)</w:t>
      </w:r>
      <w:r w:rsidRPr="00A65CD5">
        <w:rPr>
          <w:rFonts w:ascii="Arial" w:eastAsia="標楷體" w:hAnsi="Arial" w:cs="Arial"/>
        </w:rPr>
        <w:t>選項</w:t>
      </w:r>
      <w:r w:rsidRPr="00A65CD5">
        <w:rPr>
          <w:rFonts w:ascii="Arial" w:eastAsia="標楷體" w:hAnsi="Arial" w:cs="Arial"/>
        </w:rPr>
        <w:t>(A)</w:t>
      </w:r>
      <w:r>
        <w:rPr>
          <w:rFonts w:ascii="標楷體" w:eastAsia="標楷體" w:hAnsi="標楷體" w:cs="Arial" w:hint="eastAsia"/>
        </w:rPr>
        <w:t>、</w:t>
      </w:r>
      <w:r w:rsidRPr="00A65CD5">
        <w:rPr>
          <w:rFonts w:ascii="Arial" w:eastAsia="標楷體" w:hAnsi="Arial" w:cs="Arial"/>
        </w:rPr>
        <w:t>(B)</w:t>
      </w:r>
      <w:r>
        <w:rPr>
          <w:rFonts w:ascii="標楷體" w:eastAsia="標楷體" w:hAnsi="標楷體" w:cs="Arial" w:hint="eastAsia"/>
        </w:rPr>
        <w:t>、</w:t>
      </w:r>
      <w:r w:rsidRPr="00A65CD5">
        <w:rPr>
          <w:rFonts w:ascii="Arial" w:eastAsia="標楷體" w:hAnsi="Arial" w:cs="Arial"/>
        </w:rPr>
        <w:t>(C)</w:t>
      </w:r>
      <w:r w:rsidRPr="00A65CD5">
        <w:rPr>
          <w:rFonts w:ascii="Arial" w:eastAsia="標楷體" w:hAnsi="Arial" w:cs="Arial"/>
        </w:rPr>
        <w:t>皆可</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lastRenderedPageBreak/>
        <w:t>下列信用增強方式，何者一般而言能夠有效節省創始機構證券化之成本？</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次順位證券</w:t>
      </w:r>
      <w:r w:rsidRPr="00A65CD5">
        <w:rPr>
          <w:rFonts w:ascii="Arial" w:eastAsia="標楷體" w:hAnsi="Arial" w:cs="Arial"/>
        </w:rPr>
        <w:tab/>
      </w:r>
      <w:r w:rsidRPr="00A65CD5">
        <w:rPr>
          <w:rFonts w:ascii="Arial" w:eastAsia="標楷體" w:hAnsi="Arial" w:cs="Arial"/>
        </w:rPr>
        <w:tab/>
        <w:t>(B)</w:t>
      </w:r>
      <w:r w:rsidRPr="00A65CD5">
        <w:rPr>
          <w:rFonts w:ascii="Arial" w:eastAsia="標楷體" w:hAnsi="Arial" w:cs="Arial"/>
        </w:rPr>
        <w:t>信用狀</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專業金融擔保公司提供之保證</w:t>
      </w:r>
      <w:r w:rsidRPr="00A65CD5">
        <w:rPr>
          <w:rFonts w:ascii="Arial" w:eastAsia="標楷體" w:hAnsi="Arial" w:cs="Arial"/>
        </w:rPr>
        <w:tab/>
        <w:t>(D)</w:t>
      </w:r>
      <w:r w:rsidRPr="00A65CD5">
        <w:rPr>
          <w:rFonts w:ascii="Arial" w:eastAsia="標楷體" w:hAnsi="Arial" w:cs="Arial"/>
        </w:rPr>
        <w:t>專業保險公司提供之保證</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金融資產證券化的信用評等過程中，信評機構的考量方向包括：</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授信品質</w:t>
      </w:r>
      <w:r w:rsidRPr="00A65CD5">
        <w:rPr>
          <w:rFonts w:ascii="Arial" w:eastAsia="標楷體" w:hAnsi="Arial" w:cs="Arial"/>
        </w:rPr>
        <w:tab/>
      </w:r>
      <w:r w:rsidRPr="00A65CD5">
        <w:rPr>
          <w:rFonts w:ascii="Arial" w:eastAsia="標楷體" w:hAnsi="Arial" w:cs="Arial"/>
        </w:rPr>
        <w:tab/>
        <w:t>(B)</w:t>
      </w:r>
      <w:r w:rsidRPr="00A65CD5">
        <w:rPr>
          <w:rFonts w:ascii="Arial" w:eastAsia="標楷體" w:hAnsi="Arial" w:cs="Arial"/>
        </w:rPr>
        <w:t>法律架構</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後台作業</w:t>
      </w:r>
      <w:r w:rsidRPr="00A65CD5">
        <w:rPr>
          <w:rFonts w:ascii="Arial" w:eastAsia="標楷體" w:hAnsi="Arial" w:cs="Arial"/>
        </w:rPr>
        <w:tab/>
      </w:r>
      <w:r w:rsidRPr="00A65CD5">
        <w:rPr>
          <w:rFonts w:ascii="Arial" w:eastAsia="標楷體" w:hAnsi="Arial" w:cs="Arial"/>
        </w:rPr>
        <w:tab/>
        <w:t>(D)</w:t>
      </w:r>
      <w:r w:rsidRPr="00A65CD5">
        <w:rPr>
          <w:rFonts w:ascii="Arial" w:eastAsia="標楷體" w:hAnsi="Arial" w:cs="Arial"/>
        </w:rPr>
        <w:t>選項</w:t>
      </w:r>
      <w:r w:rsidRPr="00A65CD5">
        <w:rPr>
          <w:rFonts w:ascii="Arial" w:eastAsia="標楷體" w:hAnsi="Arial" w:cs="Arial"/>
        </w:rPr>
        <w:t>(A)</w:t>
      </w:r>
      <w:r>
        <w:rPr>
          <w:rFonts w:ascii="標楷體" w:eastAsia="標楷體" w:hAnsi="標楷體" w:cs="Arial" w:hint="eastAsia"/>
        </w:rPr>
        <w:t>、</w:t>
      </w:r>
      <w:r w:rsidRPr="00A65CD5">
        <w:rPr>
          <w:rFonts w:ascii="Arial" w:eastAsia="標楷體" w:hAnsi="Arial" w:cs="Arial"/>
        </w:rPr>
        <w:t>(B)</w:t>
      </w:r>
      <w:r>
        <w:rPr>
          <w:rFonts w:ascii="標楷體" w:eastAsia="標楷體" w:hAnsi="標楷體" w:cs="Arial" w:hint="eastAsia"/>
        </w:rPr>
        <w:t>、</w:t>
      </w:r>
      <w:r w:rsidRPr="00A65CD5">
        <w:rPr>
          <w:rFonts w:ascii="Arial" w:eastAsia="標楷體" w:hAnsi="Arial" w:cs="Arial"/>
        </w:rPr>
        <w:t>(C)</w:t>
      </w:r>
      <w:r w:rsidRPr="00A65CD5">
        <w:rPr>
          <w:rFonts w:ascii="Arial" w:eastAsia="標楷體" w:hAnsi="Arial" w:cs="Arial"/>
        </w:rPr>
        <w:t>皆是</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下面哪一項金融商品沒有信用增強之需要？</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花旗銀行發行之擔保債權憑證</w:t>
      </w:r>
      <w:r w:rsidRPr="00A65CD5">
        <w:rPr>
          <w:rFonts w:ascii="Arial" w:eastAsia="標楷體" w:hAnsi="Arial" w:cs="Arial"/>
        </w:rPr>
        <w:tab/>
        <w:t>(B)</w:t>
      </w:r>
      <w:r w:rsidRPr="00A65CD5">
        <w:rPr>
          <w:rFonts w:ascii="Arial" w:eastAsia="標楷體" w:hAnsi="Arial" w:cs="Arial"/>
        </w:rPr>
        <w:t>花旗銀行發行之私人房貸轉付證券</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花旗銀行發行之</w:t>
      </w:r>
      <w:proofErr w:type="gramStart"/>
      <w:r w:rsidRPr="00A65CD5">
        <w:rPr>
          <w:rFonts w:ascii="Arial" w:eastAsia="標楷體" w:hAnsi="Arial" w:cs="Arial"/>
        </w:rPr>
        <w:t>車貸轉付</w:t>
      </w:r>
      <w:proofErr w:type="gramEnd"/>
      <w:r w:rsidRPr="00A65CD5">
        <w:rPr>
          <w:rFonts w:ascii="Arial" w:eastAsia="標楷體" w:hAnsi="Arial" w:cs="Arial"/>
        </w:rPr>
        <w:t>證券</w:t>
      </w:r>
      <w:r w:rsidRPr="00A65CD5">
        <w:rPr>
          <w:rFonts w:ascii="Arial" w:eastAsia="標楷體" w:hAnsi="Arial" w:cs="Arial"/>
        </w:rPr>
        <w:tab/>
        <w:t>(D)</w:t>
      </w:r>
      <w:r w:rsidRPr="00A65CD5">
        <w:rPr>
          <w:rFonts w:ascii="Arial" w:eastAsia="標楷體" w:hAnsi="Arial" w:cs="Arial"/>
        </w:rPr>
        <w:t>花旗銀行發行之機構擔保房貸憑證</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內部信用增強法的特色是：</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依靠證券化服務機構的力量</w:t>
      </w:r>
      <w:r w:rsidRPr="00A65CD5">
        <w:rPr>
          <w:rFonts w:ascii="Arial" w:eastAsia="標楷體" w:hAnsi="Arial" w:cs="Arial"/>
        </w:rPr>
        <w:tab/>
        <w:t>(B)</w:t>
      </w:r>
      <w:r w:rsidRPr="00A65CD5">
        <w:rPr>
          <w:rFonts w:ascii="Arial" w:eastAsia="標楷體" w:hAnsi="Arial" w:cs="Arial"/>
        </w:rPr>
        <w:t>依靠證券化創始機構的力量</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依靠證券化受託機構的力量</w:t>
      </w:r>
      <w:r w:rsidRPr="00A65CD5">
        <w:rPr>
          <w:rFonts w:ascii="Arial" w:eastAsia="標楷體" w:hAnsi="Arial" w:cs="Arial"/>
        </w:rPr>
        <w:tab/>
        <w:t>(D)</w:t>
      </w:r>
      <w:r w:rsidRPr="00A65CD5">
        <w:rPr>
          <w:rFonts w:ascii="Arial" w:eastAsia="標楷體" w:hAnsi="Arial" w:cs="Arial"/>
        </w:rPr>
        <w:t>依靠證券化標的資產所架構</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信用卡債權證券化時加入提前清償機制（</w:t>
      </w:r>
      <w:r w:rsidRPr="00A65CD5">
        <w:rPr>
          <w:rFonts w:ascii="Arial" w:eastAsia="標楷體" w:hAnsi="Arial" w:cs="Arial"/>
        </w:rPr>
        <w:t>Early Amortization</w:t>
      </w:r>
      <w:r w:rsidRPr="00A65CD5">
        <w:rPr>
          <w:rFonts w:ascii="Arial" w:eastAsia="標楷體" w:hAnsi="Arial" w:cs="Arial"/>
        </w:rPr>
        <w:t>）是為了：</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避免流動性不足</w:t>
      </w:r>
      <w:r w:rsidRPr="00A65CD5">
        <w:rPr>
          <w:rFonts w:ascii="Arial" w:eastAsia="標楷體" w:hAnsi="Arial" w:cs="Arial"/>
        </w:rPr>
        <w:tab/>
      </w:r>
      <w:r w:rsidRPr="00A65CD5">
        <w:rPr>
          <w:rFonts w:ascii="Arial" w:eastAsia="標楷體" w:hAnsi="Arial" w:cs="Arial"/>
        </w:rPr>
        <w:tab/>
        <w:t>(B)</w:t>
      </w:r>
      <w:r w:rsidRPr="00A65CD5">
        <w:rPr>
          <w:rFonts w:ascii="Arial" w:eastAsia="標楷體" w:hAnsi="Arial" w:cs="Arial"/>
        </w:rPr>
        <w:t>避免提前還本太慢</w:t>
      </w:r>
      <w:r w:rsidRPr="00A65CD5">
        <w:rPr>
          <w:rFonts w:ascii="Arial" w:eastAsia="標楷體" w:hAnsi="Arial" w:cs="Arial"/>
        </w:rPr>
        <w:tab/>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縮短投資期間</w:t>
      </w:r>
      <w:r w:rsidRPr="00A65CD5">
        <w:rPr>
          <w:rFonts w:ascii="Arial" w:eastAsia="標楷體" w:hAnsi="Arial" w:cs="Arial"/>
        </w:rPr>
        <w:tab/>
      </w:r>
      <w:r w:rsidRPr="00A65CD5">
        <w:rPr>
          <w:rFonts w:ascii="Arial" w:eastAsia="標楷體" w:hAnsi="Arial" w:cs="Arial"/>
        </w:rPr>
        <w:tab/>
        <w:t>(D)</w:t>
      </w:r>
      <w:r w:rsidRPr="00A65CD5">
        <w:rPr>
          <w:rFonts w:ascii="Arial" w:eastAsia="標楷體" w:hAnsi="Arial" w:cs="Arial"/>
        </w:rPr>
        <w:t>避免財務過度惡化</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在證券化時，下列哪一個是為降低證券現金流量波動風險而設計？</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純本金／純利息分組</w:t>
      </w:r>
      <w:r>
        <w:rPr>
          <w:rFonts w:ascii="Arial" w:eastAsia="標楷體" w:hAnsi="Arial" w:cs="Arial" w:hint="eastAsia"/>
        </w:rPr>
        <w:tab/>
      </w:r>
      <w:r w:rsidRPr="00A65CD5">
        <w:rPr>
          <w:rFonts w:ascii="Arial" w:eastAsia="標楷體" w:hAnsi="Arial" w:cs="Arial"/>
        </w:rPr>
        <w:tab/>
        <w:t>(B)</w:t>
      </w:r>
      <w:r w:rsidRPr="00A65CD5">
        <w:rPr>
          <w:rFonts w:ascii="Arial" w:eastAsia="標楷體" w:hAnsi="Arial" w:cs="Arial"/>
        </w:rPr>
        <w:t>發行不同評等證券</w:t>
      </w:r>
      <w:r w:rsidRPr="00A65CD5">
        <w:rPr>
          <w:rFonts w:ascii="Arial" w:eastAsia="標楷體" w:hAnsi="Arial" w:cs="Arial"/>
        </w:rPr>
        <w:tab/>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(C)PAC</w:t>
      </w:r>
      <w:r w:rsidRPr="00A65CD5">
        <w:rPr>
          <w:rFonts w:ascii="Arial" w:eastAsia="標楷體" w:hAnsi="Arial" w:cs="Arial"/>
        </w:rPr>
        <w:tab/>
      </w:r>
      <w:r w:rsidRPr="00A65CD5">
        <w:rPr>
          <w:rFonts w:ascii="Arial" w:eastAsia="標楷體" w:hAnsi="Arial" w:cs="Arial"/>
        </w:rPr>
        <w:tab/>
        <w:t>(D)</w:t>
      </w:r>
      <w:r w:rsidRPr="00A65CD5">
        <w:rPr>
          <w:rFonts w:ascii="Arial" w:eastAsia="標楷體" w:hAnsi="Arial" w:cs="Arial"/>
        </w:rPr>
        <w:t>優先次順位分組</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proofErr w:type="gramStart"/>
      <w:r w:rsidRPr="00A65CD5">
        <w:rPr>
          <w:rFonts w:ascii="Arial" w:eastAsia="標楷體" w:hAnsi="Arial" w:cs="Arial"/>
        </w:rPr>
        <w:t>賣斷型不動產</w:t>
      </w:r>
      <w:proofErr w:type="gramEnd"/>
      <w:r w:rsidRPr="00A65CD5">
        <w:rPr>
          <w:rFonts w:ascii="Arial" w:eastAsia="標楷體" w:hAnsi="Arial" w:cs="Arial"/>
        </w:rPr>
        <w:t>資產信託（</w:t>
      </w:r>
      <w:r w:rsidRPr="00A65CD5">
        <w:rPr>
          <w:rFonts w:ascii="Arial" w:eastAsia="標楷體" w:hAnsi="Arial" w:cs="Arial"/>
        </w:rPr>
        <w:t>REAT</w:t>
      </w:r>
      <w:r w:rsidRPr="00A65CD5">
        <w:rPr>
          <w:rFonts w:ascii="Arial" w:eastAsia="標楷體" w:hAnsi="Arial" w:cs="Arial"/>
        </w:rPr>
        <w:t>）在信託到期時處分不動產的方式為何？</w:t>
      </w:r>
      <w:r w:rsidRPr="00A65CD5">
        <w:rPr>
          <w:rFonts w:ascii="Arial" w:eastAsia="標楷體" w:hAnsi="Arial" w:cs="Arial"/>
        </w:rPr>
        <w:t xml:space="preserve"> </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由受託機構於公開市場處分</w:t>
      </w:r>
      <w:r w:rsidRPr="00A65CD5">
        <w:rPr>
          <w:rFonts w:ascii="Arial" w:eastAsia="標楷體" w:hAnsi="Arial" w:cs="Arial"/>
        </w:rPr>
        <w:tab/>
        <w:t>(B)</w:t>
      </w:r>
      <w:r w:rsidRPr="00A65CD5">
        <w:rPr>
          <w:rFonts w:ascii="Arial" w:eastAsia="標楷體" w:hAnsi="Arial" w:cs="Arial"/>
        </w:rPr>
        <w:t>由受託機構買回</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由發起人買回</w:t>
      </w:r>
      <w:r w:rsidRPr="00A65CD5">
        <w:rPr>
          <w:rFonts w:ascii="Arial" w:eastAsia="標楷體" w:hAnsi="Arial" w:cs="Arial"/>
        </w:rPr>
        <w:tab/>
      </w:r>
      <w:r w:rsidRPr="00A65CD5">
        <w:rPr>
          <w:rFonts w:ascii="Arial" w:eastAsia="標楷體" w:hAnsi="Arial" w:cs="Arial"/>
        </w:rPr>
        <w:tab/>
        <w:t>(D)</w:t>
      </w:r>
      <w:r w:rsidRPr="00A65CD5">
        <w:rPr>
          <w:rFonts w:ascii="Arial" w:eastAsia="標楷體" w:hAnsi="Arial" w:cs="Arial"/>
        </w:rPr>
        <w:t>交付</w:t>
      </w:r>
      <w:r w:rsidRPr="00A65CD5">
        <w:rPr>
          <w:rFonts w:ascii="Arial" w:eastAsia="標楷體" w:hAnsi="Arial" w:cs="Arial"/>
        </w:rPr>
        <w:t>REAT</w:t>
      </w:r>
      <w:r w:rsidRPr="00A65CD5">
        <w:rPr>
          <w:rFonts w:ascii="Arial" w:eastAsia="標楷體" w:hAnsi="Arial" w:cs="Arial"/>
        </w:rPr>
        <w:t>投資人</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REITs</w:t>
      </w:r>
      <w:r w:rsidRPr="00A65CD5">
        <w:rPr>
          <w:rFonts w:ascii="Arial" w:eastAsia="標楷體" w:hAnsi="Arial" w:cs="Arial"/>
        </w:rPr>
        <w:t>投資人可透過何種管道行使權利？</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參與董事會</w:t>
      </w:r>
      <w:r w:rsidRPr="00A65CD5">
        <w:rPr>
          <w:rFonts w:ascii="Arial" w:eastAsia="標楷體" w:hAnsi="Arial" w:cs="Arial"/>
        </w:rPr>
        <w:tab/>
        <w:t>(B)</w:t>
      </w:r>
      <w:r w:rsidRPr="00A65CD5">
        <w:rPr>
          <w:rFonts w:ascii="Arial" w:eastAsia="標楷體" w:hAnsi="Arial" w:cs="Arial"/>
        </w:rPr>
        <w:t>參與受益人會議</w:t>
      </w:r>
      <w:r w:rsidRPr="00A65CD5">
        <w:rPr>
          <w:rFonts w:ascii="Arial" w:eastAsia="標楷體" w:hAnsi="Arial" w:cs="Arial"/>
        </w:rPr>
        <w:tab/>
        <w:t>(C)</w:t>
      </w:r>
      <w:r w:rsidRPr="00A65CD5">
        <w:rPr>
          <w:rFonts w:ascii="Arial" w:eastAsia="標楷體" w:hAnsi="Arial" w:cs="Arial"/>
        </w:rPr>
        <w:t>參與監察人會議</w:t>
      </w:r>
      <w:r w:rsidRPr="00A65CD5">
        <w:rPr>
          <w:rFonts w:ascii="Arial" w:eastAsia="標楷體" w:hAnsi="Arial" w:cs="Arial"/>
        </w:rPr>
        <w:tab/>
        <w:t>(D)</w:t>
      </w:r>
      <w:r w:rsidRPr="00A65CD5">
        <w:rPr>
          <w:rFonts w:ascii="Arial" w:eastAsia="標楷體" w:hAnsi="Arial" w:cs="Arial"/>
        </w:rPr>
        <w:t>參與審計委員會會議</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不動產資產信託受益證券具有何種特性？</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具有固定收益性質</w:t>
      </w:r>
      <w:r w:rsidRPr="00A65CD5">
        <w:rPr>
          <w:rFonts w:ascii="Arial" w:eastAsia="標楷體" w:hAnsi="Arial" w:cs="Arial"/>
        </w:rPr>
        <w:tab/>
      </w:r>
      <w:r w:rsidRPr="00A65CD5">
        <w:rPr>
          <w:rFonts w:ascii="Arial" w:eastAsia="標楷體" w:hAnsi="Arial" w:cs="Arial"/>
        </w:rPr>
        <w:tab/>
        <w:t>(B)</w:t>
      </w:r>
      <w:r w:rsidRPr="00A65CD5">
        <w:rPr>
          <w:rFonts w:ascii="Arial" w:eastAsia="標楷體" w:hAnsi="Arial" w:cs="Arial"/>
        </w:rPr>
        <w:t>次順位受益證券具有信用增強功能</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投資標的多為具有租金收入之不動產</w:t>
      </w:r>
      <w:r w:rsidRPr="00A65CD5">
        <w:rPr>
          <w:rFonts w:ascii="Arial" w:eastAsia="標楷體" w:hAnsi="Arial" w:cs="Arial"/>
        </w:rPr>
        <w:tab/>
        <w:t>(D)</w:t>
      </w:r>
      <w:r w:rsidRPr="00A65CD5">
        <w:rPr>
          <w:rFonts w:ascii="Arial" w:eastAsia="標楷體" w:hAnsi="Arial" w:cs="Arial"/>
        </w:rPr>
        <w:t>選項</w:t>
      </w:r>
      <w:r w:rsidRPr="00A65CD5">
        <w:rPr>
          <w:rFonts w:ascii="Arial" w:eastAsia="標楷體" w:hAnsi="Arial" w:cs="Arial"/>
        </w:rPr>
        <w:t>(A)</w:t>
      </w:r>
      <w:r>
        <w:rPr>
          <w:rFonts w:ascii="標楷體" w:eastAsia="標楷體" w:hAnsi="標楷體" w:cs="Arial" w:hint="eastAsia"/>
        </w:rPr>
        <w:t>、</w:t>
      </w:r>
      <w:r w:rsidRPr="00A65CD5">
        <w:rPr>
          <w:rFonts w:ascii="Arial" w:eastAsia="標楷體" w:hAnsi="Arial" w:cs="Arial"/>
        </w:rPr>
        <w:t>(B)</w:t>
      </w:r>
      <w:r>
        <w:rPr>
          <w:rFonts w:ascii="標楷體" w:eastAsia="標楷體" w:hAnsi="標楷體" w:cs="Arial" w:hint="eastAsia"/>
        </w:rPr>
        <w:t>、</w:t>
      </w:r>
      <w:r w:rsidRPr="00A65CD5">
        <w:rPr>
          <w:rFonts w:ascii="Arial" w:eastAsia="標楷體" w:hAnsi="Arial" w:cs="Arial"/>
        </w:rPr>
        <w:t>(C)</w:t>
      </w:r>
      <w:r w:rsidRPr="00A65CD5">
        <w:rPr>
          <w:rFonts w:ascii="Arial" w:eastAsia="標楷體" w:hAnsi="Arial" w:cs="Arial"/>
        </w:rPr>
        <w:t>皆是</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下列何者為投資不動產投資信託基金（</w:t>
      </w:r>
      <w:r w:rsidRPr="00A65CD5">
        <w:rPr>
          <w:rFonts w:ascii="Arial" w:eastAsia="標楷體" w:hAnsi="Arial" w:cs="Arial"/>
        </w:rPr>
        <w:t>REITs</w:t>
      </w:r>
      <w:r w:rsidRPr="00A65CD5">
        <w:rPr>
          <w:rFonts w:ascii="Arial" w:eastAsia="標楷體" w:hAnsi="Arial" w:cs="Arial"/>
        </w:rPr>
        <w:t>）前應衡量之風險？</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不動產集中度的風險</w:t>
      </w:r>
      <w:r>
        <w:rPr>
          <w:rFonts w:ascii="Arial" w:eastAsia="標楷體" w:hAnsi="Arial" w:cs="Arial" w:hint="eastAsia"/>
        </w:rPr>
        <w:tab/>
      </w:r>
      <w:r w:rsidRPr="00A65CD5">
        <w:rPr>
          <w:rFonts w:ascii="Arial" w:eastAsia="標楷體" w:hAnsi="Arial" w:cs="Arial"/>
        </w:rPr>
        <w:tab/>
        <w:t>(B)</w:t>
      </w:r>
      <w:r w:rsidRPr="00A65CD5">
        <w:rPr>
          <w:rFonts w:ascii="Arial" w:eastAsia="標楷體" w:hAnsi="Arial" w:cs="Arial"/>
        </w:rPr>
        <w:t>不動產租金收入不穩定的風險</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不動產價格變動的風險</w:t>
      </w:r>
      <w:r w:rsidRPr="00A65CD5">
        <w:rPr>
          <w:rFonts w:ascii="Arial" w:eastAsia="標楷體" w:hAnsi="Arial" w:cs="Arial"/>
        </w:rPr>
        <w:tab/>
        <w:t>(D)</w:t>
      </w:r>
      <w:r w:rsidRPr="00A65CD5">
        <w:rPr>
          <w:rFonts w:ascii="Arial" w:eastAsia="標楷體" w:hAnsi="Arial" w:cs="Arial"/>
        </w:rPr>
        <w:t>選項</w:t>
      </w:r>
      <w:r w:rsidRPr="00A65CD5">
        <w:rPr>
          <w:rFonts w:ascii="Arial" w:eastAsia="標楷體" w:hAnsi="Arial" w:cs="Arial"/>
        </w:rPr>
        <w:t>(A)</w:t>
      </w:r>
      <w:r>
        <w:rPr>
          <w:rFonts w:ascii="標楷體" w:eastAsia="標楷體" w:hAnsi="標楷體" w:cs="Arial" w:hint="eastAsia"/>
        </w:rPr>
        <w:t>、</w:t>
      </w:r>
      <w:r w:rsidRPr="00A65CD5">
        <w:rPr>
          <w:rFonts w:ascii="Arial" w:eastAsia="標楷體" w:hAnsi="Arial" w:cs="Arial"/>
        </w:rPr>
        <w:t>(B)</w:t>
      </w:r>
      <w:r>
        <w:rPr>
          <w:rFonts w:ascii="標楷體" w:eastAsia="標楷體" w:hAnsi="標楷體" w:cs="Arial" w:hint="eastAsia"/>
        </w:rPr>
        <w:t>、</w:t>
      </w:r>
      <w:r w:rsidRPr="00A65CD5">
        <w:rPr>
          <w:rFonts w:ascii="Arial" w:eastAsia="標楷體" w:hAnsi="Arial" w:cs="Arial"/>
        </w:rPr>
        <w:t>(C)</w:t>
      </w:r>
      <w:r w:rsidRPr="00A65CD5">
        <w:rPr>
          <w:rFonts w:ascii="Arial" w:eastAsia="標楷體" w:hAnsi="Arial" w:cs="Arial"/>
        </w:rPr>
        <w:t>皆是</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在失業率</w:t>
      </w:r>
      <w:proofErr w:type="gramStart"/>
      <w:r w:rsidRPr="00A65CD5">
        <w:rPr>
          <w:rFonts w:ascii="Arial" w:eastAsia="標楷體" w:hAnsi="Arial" w:cs="Arial"/>
        </w:rPr>
        <w:t>攀升且總體</w:t>
      </w:r>
      <w:proofErr w:type="gramEnd"/>
      <w:r w:rsidRPr="00A65CD5">
        <w:rPr>
          <w:rFonts w:ascii="Arial" w:eastAsia="標楷體" w:hAnsi="Arial" w:cs="Arial"/>
        </w:rPr>
        <w:t>景氣變差的經濟環境中，何種特性的住宅抵押貸款證券（</w:t>
      </w:r>
      <w:r w:rsidRPr="00A65CD5">
        <w:rPr>
          <w:rFonts w:ascii="Arial" w:eastAsia="標楷體" w:hAnsi="Arial" w:cs="Arial"/>
        </w:rPr>
        <w:t>RMBS</w:t>
      </w:r>
      <w:r w:rsidRPr="00A65CD5">
        <w:rPr>
          <w:rFonts w:ascii="Arial" w:eastAsia="標楷體" w:hAnsi="Arial" w:cs="Arial"/>
        </w:rPr>
        <w:t>）較容易違約？</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高債務保障比（</w:t>
      </w:r>
      <w:r w:rsidRPr="00A65CD5">
        <w:rPr>
          <w:rFonts w:ascii="Arial" w:eastAsia="標楷體" w:hAnsi="Arial" w:cs="Arial"/>
        </w:rPr>
        <w:t>DSCR</w:t>
      </w:r>
      <w:r w:rsidRPr="00A65CD5">
        <w:rPr>
          <w:rFonts w:ascii="Arial" w:eastAsia="標楷體" w:hAnsi="Arial" w:cs="Arial"/>
        </w:rPr>
        <w:t>）</w:t>
      </w:r>
      <w:r w:rsidRPr="00A65CD5">
        <w:rPr>
          <w:rFonts w:ascii="Arial" w:eastAsia="標楷體" w:hAnsi="Arial" w:cs="Arial"/>
        </w:rPr>
        <w:tab/>
        <w:t>(B)</w:t>
      </w:r>
      <w:r w:rsidRPr="00A65CD5">
        <w:rPr>
          <w:rFonts w:ascii="Arial" w:eastAsia="標楷體" w:hAnsi="Arial" w:cs="Arial"/>
        </w:rPr>
        <w:t>高貸款價值比（</w:t>
      </w:r>
      <w:r w:rsidRPr="00A65CD5">
        <w:rPr>
          <w:rFonts w:ascii="Arial" w:eastAsia="標楷體" w:hAnsi="Arial" w:cs="Arial"/>
        </w:rPr>
        <w:t>LTV</w:t>
      </w:r>
      <w:r w:rsidRPr="00A65CD5">
        <w:rPr>
          <w:rFonts w:ascii="Arial" w:eastAsia="標楷體" w:hAnsi="Arial" w:cs="Arial"/>
        </w:rPr>
        <w:t>）</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選項</w:t>
      </w:r>
      <w:r w:rsidRPr="00A65CD5">
        <w:rPr>
          <w:rFonts w:ascii="Arial" w:eastAsia="標楷體" w:hAnsi="Arial" w:cs="Arial"/>
        </w:rPr>
        <w:t>(A)</w:t>
      </w:r>
      <w:r>
        <w:rPr>
          <w:rFonts w:ascii="標楷體" w:eastAsia="標楷體" w:hAnsi="標楷體" w:cs="Arial" w:hint="eastAsia"/>
        </w:rPr>
        <w:t>、</w:t>
      </w:r>
      <w:r w:rsidRPr="00A65CD5">
        <w:rPr>
          <w:rFonts w:ascii="Arial" w:eastAsia="標楷體" w:hAnsi="Arial" w:cs="Arial"/>
        </w:rPr>
        <w:t>(B)</w:t>
      </w:r>
      <w:r w:rsidRPr="00A65CD5">
        <w:rPr>
          <w:rFonts w:ascii="Arial" w:eastAsia="標楷體" w:hAnsi="Arial" w:cs="Arial"/>
        </w:rPr>
        <w:t>皆容易違約</w:t>
      </w:r>
      <w:r w:rsidRPr="00A65CD5">
        <w:rPr>
          <w:rFonts w:ascii="Arial" w:eastAsia="標楷體" w:hAnsi="Arial" w:cs="Arial"/>
        </w:rPr>
        <w:tab/>
        <w:t>(D)</w:t>
      </w:r>
      <w:r w:rsidRPr="00A65CD5">
        <w:rPr>
          <w:rFonts w:ascii="Arial" w:eastAsia="標楷體" w:hAnsi="Arial" w:cs="Arial"/>
        </w:rPr>
        <w:t>選項</w:t>
      </w:r>
      <w:r w:rsidRPr="00A65CD5">
        <w:rPr>
          <w:rFonts w:ascii="Arial" w:eastAsia="標楷體" w:hAnsi="Arial" w:cs="Arial"/>
        </w:rPr>
        <w:t>(A)</w:t>
      </w:r>
      <w:r>
        <w:rPr>
          <w:rFonts w:ascii="標楷體" w:eastAsia="標楷體" w:hAnsi="標楷體" w:cs="Arial" w:hint="eastAsia"/>
        </w:rPr>
        <w:t>、</w:t>
      </w:r>
      <w:r w:rsidRPr="00A65CD5">
        <w:rPr>
          <w:rFonts w:ascii="Arial" w:eastAsia="標楷體" w:hAnsi="Arial" w:cs="Arial"/>
        </w:rPr>
        <w:t>(B)</w:t>
      </w:r>
      <w:r w:rsidRPr="00A65CD5">
        <w:rPr>
          <w:rFonts w:ascii="Arial" w:eastAsia="標楷體" w:hAnsi="Arial" w:cs="Arial"/>
        </w:rPr>
        <w:t>皆不易違約</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下列何種房貸衍生證券的設計，對降低證券化的提前清償風險沒有幫助？</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計畫還本類組（</w:t>
      </w:r>
      <w:r w:rsidRPr="00A65CD5">
        <w:rPr>
          <w:rFonts w:ascii="Arial" w:eastAsia="標楷體" w:hAnsi="Arial" w:cs="Arial"/>
        </w:rPr>
        <w:t>Planned Amortization Class</w:t>
      </w:r>
      <w:r w:rsidRPr="00A65CD5">
        <w:rPr>
          <w:rFonts w:ascii="Arial" w:eastAsia="標楷體" w:hAnsi="Arial" w:cs="Arial"/>
        </w:rPr>
        <w:t>）</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(B)</w:t>
      </w:r>
      <w:r w:rsidRPr="00A65CD5">
        <w:rPr>
          <w:rFonts w:ascii="Arial" w:eastAsia="標楷體" w:hAnsi="Arial" w:cs="Arial"/>
        </w:rPr>
        <w:t>目標性還本類組（</w:t>
      </w:r>
      <w:r w:rsidRPr="00A65CD5">
        <w:rPr>
          <w:rFonts w:ascii="Arial" w:eastAsia="標楷體" w:hAnsi="Arial" w:cs="Arial"/>
        </w:rPr>
        <w:t>Targeted Amortization Class</w:t>
      </w:r>
      <w:r w:rsidRPr="00A65CD5">
        <w:rPr>
          <w:rFonts w:ascii="Arial" w:eastAsia="標楷體" w:hAnsi="Arial" w:cs="Arial"/>
        </w:rPr>
        <w:t>）</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信用違約交換（</w:t>
      </w:r>
      <w:r w:rsidRPr="00A65CD5">
        <w:rPr>
          <w:rFonts w:ascii="Arial" w:eastAsia="標楷體" w:hAnsi="Arial" w:cs="Arial"/>
        </w:rPr>
        <w:t>Credit Default Swap</w:t>
      </w:r>
      <w:r w:rsidRPr="00A65CD5">
        <w:rPr>
          <w:rFonts w:ascii="Arial" w:eastAsia="標楷體" w:hAnsi="Arial" w:cs="Arial"/>
        </w:rPr>
        <w:t>）</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(D)</w:t>
      </w:r>
      <w:r w:rsidRPr="00A65CD5">
        <w:rPr>
          <w:rFonts w:ascii="Arial" w:eastAsia="標楷體" w:hAnsi="Arial" w:cs="Arial"/>
        </w:rPr>
        <w:t>擔保住宅抵押貸款憑證（</w:t>
      </w:r>
      <w:r w:rsidRPr="00A65CD5">
        <w:rPr>
          <w:rFonts w:ascii="Arial" w:eastAsia="標楷體" w:hAnsi="Arial" w:cs="Arial"/>
        </w:rPr>
        <w:t>Collateralized Mortgage Obligations</w:t>
      </w:r>
      <w:r w:rsidRPr="00A65CD5">
        <w:rPr>
          <w:rFonts w:ascii="Arial" w:eastAsia="標楷體" w:hAnsi="Arial" w:cs="Arial"/>
        </w:rPr>
        <w:t>）</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在原有的信託架構下，可以納入新的證券系列，並可由共同的債權為擔保，此種證券化的信託制度為何？</w:t>
      </w:r>
    </w:p>
    <w:p w:rsidR="0081485A"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單一信託</w:t>
      </w:r>
      <w:r w:rsidRPr="00A65CD5">
        <w:rPr>
          <w:rFonts w:ascii="Arial" w:eastAsia="標楷體" w:hAnsi="Arial" w:cs="Arial"/>
        </w:rPr>
        <w:tab/>
        <w:t>(B)</w:t>
      </w:r>
      <w:r w:rsidRPr="00A65CD5">
        <w:rPr>
          <w:rFonts w:ascii="Arial" w:eastAsia="標楷體" w:hAnsi="Arial" w:cs="Arial"/>
        </w:rPr>
        <w:t>統合信託</w:t>
      </w:r>
      <w:r w:rsidRPr="00A65CD5">
        <w:rPr>
          <w:rFonts w:ascii="Arial" w:eastAsia="標楷體" w:hAnsi="Arial" w:cs="Arial"/>
        </w:rPr>
        <w:tab/>
        <w:t>(C)</w:t>
      </w:r>
      <w:proofErr w:type="gramStart"/>
      <w:r w:rsidRPr="00A65CD5">
        <w:rPr>
          <w:rFonts w:ascii="Arial" w:eastAsia="標楷體" w:hAnsi="Arial" w:cs="Arial"/>
        </w:rPr>
        <w:t>複</w:t>
      </w:r>
      <w:proofErr w:type="gramEnd"/>
      <w:r w:rsidRPr="00A65CD5">
        <w:rPr>
          <w:rFonts w:ascii="Arial" w:eastAsia="標楷體" w:hAnsi="Arial" w:cs="Arial"/>
        </w:rPr>
        <w:t>信託</w:t>
      </w:r>
      <w:r w:rsidRPr="00A65CD5">
        <w:rPr>
          <w:rFonts w:ascii="Arial" w:eastAsia="標楷體" w:hAnsi="Arial" w:cs="Arial"/>
        </w:rPr>
        <w:tab/>
        <w:t>(D)</w:t>
      </w:r>
      <w:r w:rsidRPr="00A65CD5">
        <w:rPr>
          <w:rFonts w:ascii="Arial" w:eastAsia="標楷體" w:hAnsi="Arial" w:cs="Arial"/>
        </w:rPr>
        <w:t>消極信託</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lastRenderedPageBreak/>
        <w:t>對受益證券之募集或私募安排規劃整體事務者為</w:t>
      </w:r>
      <w:r>
        <w:rPr>
          <w:rFonts w:ascii="標楷體" w:eastAsia="標楷體" w:hAnsi="標楷體" w:cs="Arial" w:hint="eastAsia"/>
        </w:rPr>
        <w:t>：</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創始機構</w:t>
      </w:r>
      <w:r w:rsidRPr="00A65CD5">
        <w:rPr>
          <w:rFonts w:ascii="Arial" w:eastAsia="標楷體" w:hAnsi="Arial" w:cs="Arial"/>
        </w:rPr>
        <w:tab/>
        <w:t>(B)</w:t>
      </w:r>
      <w:r w:rsidRPr="00A65CD5">
        <w:rPr>
          <w:rFonts w:ascii="Arial" w:eastAsia="標楷體" w:hAnsi="Arial" w:cs="Arial"/>
        </w:rPr>
        <w:t>受託機構</w:t>
      </w:r>
      <w:r w:rsidRPr="00A65CD5">
        <w:rPr>
          <w:rFonts w:ascii="Arial" w:eastAsia="標楷體" w:hAnsi="Arial" w:cs="Arial"/>
        </w:rPr>
        <w:tab/>
        <w:t>(C)</w:t>
      </w:r>
      <w:r w:rsidRPr="00A65CD5">
        <w:rPr>
          <w:rFonts w:ascii="Arial" w:eastAsia="標楷體" w:hAnsi="Arial" w:cs="Arial"/>
        </w:rPr>
        <w:t>安排機構</w:t>
      </w:r>
      <w:r w:rsidRPr="00A65CD5">
        <w:rPr>
          <w:rFonts w:ascii="Arial" w:eastAsia="標楷體" w:hAnsi="Arial" w:cs="Arial"/>
        </w:rPr>
        <w:tab/>
        <w:t>(D)</w:t>
      </w:r>
      <w:r w:rsidRPr="00A65CD5">
        <w:rPr>
          <w:rFonts w:ascii="Arial" w:eastAsia="標楷體" w:hAnsi="Arial" w:cs="Arial"/>
        </w:rPr>
        <w:t>主管機構</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Pr>
          <w:rFonts w:ascii="Arial" w:eastAsia="標楷體" w:hAnsi="Arial" w:cs="Arial" w:hint="eastAsia"/>
        </w:rPr>
        <w:t>有關</w:t>
      </w:r>
      <w:r w:rsidRPr="00A65CD5">
        <w:rPr>
          <w:rFonts w:ascii="Arial" w:eastAsia="標楷體" w:hAnsi="Arial" w:cs="Arial"/>
        </w:rPr>
        <w:t>受託機構募集不動產投資信託基金之定型化契約範本，下列敘述，何者正確？</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應由受託機構訂定，報請主管機關核定</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(B)</w:t>
      </w:r>
      <w:r w:rsidRPr="00A65CD5">
        <w:rPr>
          <w:rFonts w:ascii="Arial" w:eastAsia="標楷體" w:hAnsi="Arial" w:cs="Arial"/>
        </w:rPr>
        <w:t>應由受託機構訂定，報請消保機關核定</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應由受託機構訂定，報請信託業商業同業公會核定</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hAnsi="Arial" w:cs="Arial"/>
        </w:rPr>
      </w:pPr>
      <w:r w:rsidRPr="00A65CD5">
        <w:rPr>
          <w:rFonts w:ascii="Arial" w:eastAsia="標楷體" w:hAnsi="Arial" w:cs="Arial"/>
        </w:rPr>
        <w:t>(D)</w:t>
      </w:r>
      <w:r w:rsidRPr="00A65CD5">
        <w:rPr>
          <w:rFonts w:ascii="Arial" w:eastAsia="標楷體" w:hAnsi="Arial" w:cs="Arial"/>
        </w:rPr>
        <w:t>應由信託業商業同業公會訂定，報請主管機關核定</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受益人依不動產證券化條例行使表決權應否提示受益證券？</w:t>
      </w:r>
      <w:r w:rsidRPr="00A65CD5">
        <w:rPr>
          <w:rFonts w:ascii="Arial" w:eastAsia="標楷體" w:hAnsi="Arial" w:cs="Arial"/>
        </w:rPr>
        <w:t xml:space="preserve"> </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應提示受益證券</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(B)</w:t>
      </w:r>
      <w:r w:rsidRPr="00A65CD5">
        <w:rPr>
          <w:rFonts w:ascii="Arial" w:eastAsia="標楷體" w:hAnsi="Arial" w:cs="Arial"/>
        </w:rPr>
        <w:t>不必提示受益證券</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依主管機關之規定</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(D)</w:t>
      </w:r>
      <w:r w:rsidRPr="00A65CD5">
        <w:rPr>
          <w:rFonts w:ascii="Arial" w:eastAsia="標楷體" w:hAnsi="Arial" w:cs="Arial"/>
        </w:rPr>
        <w:t>依不動產投資信託契約或不動產資產信託契約之約定</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有關受託機構之辭任，下列敘述，何者正確？</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非經受益人會議之決議，並經主管機關許可，不得辭任</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(B)</w:t>
      </w:r>
      <w:r w:rsidRPr="00A65CD5">
        <w:rPr>
          <w:rFonts w:ascii="Arial" w:eastAsia="標楷體" w:hAnsi="Arial" w:cs="Arial"/>
        </w:rPr>
        <w:t>非有不得已之事由，並經受益人會議決議，不得辭任</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非經受益人會議之決議，不得辭任。但有不得已之事由，得申請主管機關許可其辭任</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(D)</w:t>
      </w:r>
      <w:r w:rsidRPr="00A65CD5">
        <w:rPr>
          <w:rFonts w:ascii="Arial" w:eastAsia="標楷體" w:hAnsi="Arial" w:cs="Arial"/>
        </w:rPr>
        <w:t>非經受益人會議之決議，不得辭任。但有不得已之事由，得聲請法院許可其辭任</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有關受益證券之轉讓，下列敘述，何者正確？</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非將受讓人之姓名或名稱通知受託機構，不生效力</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(B)</w:t>
      </w:r>
      <w:r w:rsidRPr="00A65CD5">
        <w:rPr>
          <w:rFonts w:ascii="Arial" w:eastAsia="標楷體" w:hAnsi="Arial" w:cs="Arial"/>
        </w:rPr>
        <w:t>非將受讓人之姓名或名稱通知受託機構，不得對抗受託機構及第三人</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非將受讓人之姓名或名稱通知受託機構，對受託機構不生效力，且不得對抗第三人</w:t>
      </w:r>
    </w:p>
    <w:p w:rsidR="0081485A" w:rsidRPr="00A65CD5" w:rsidRDefault="0081485A" w:rsidP="0081485A">
      <w:pPr>
        <w:tabs>
          <w:tab w:val="left" w:pos="2977"/>
          <w:tab w:val="left" w:pos="5387"/>
          <w:tab w:val="left" w:pos="7797"/>
        </w:tabs>
        <w:snapToGrid w:val="0"/>
        <w:spacing w:before="20" w:after="20" w:line="300" w:lineRule="exact"/>
        <w:ind w:leftChars="199" w:left="812" w:hanging="334"/>
        <w:rPr>
          <w:rFonts w:ascii="Arial" w:hAnsi="Arial" w:cs="Arial"/>
        </w:rPr>
      </w:pPr>
      <w:r w:rsidRPr="00A65CD5">
        <w:rPr>
          <w:rFonts w:ascii="Arial" w:eastAsia="標楷體" w:hAnsi="Arial" w:cs="Arial"/>
        </w:rPr>
        <w:t>(D)</w:t>
      </w:r>
      <w:r w:rsidRPr="00A65CD5">
        <w:rPr>
          <w:rFonts w:ascii="Arial" w:eastAsia="標楷體" w:hAnsi="Arial" w:cs="Arial"/>
        </w:rPr>
        <w:t>非將受讓人之姓名或名稱、住所通知受託機構，不得對抗受託機構；非將受讓人之姓名或名稱記載於受益證券，不得對抗第三人</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Pr>
          <w:rFonts w:ascii="Arial" w:eastAsia="標楷體" w:hAnsi="Arial" w:cs="Arial" w:hint="eastAsia"/>
        </w:rPr>
        <w:t>有關</w:t>
      </w:r>
      <w:r w:rsidRPr="00A65CD5">
        <w:rPr>
          <w:rFonts w:ascii="Arial" w:eastAsia="標楷體" w:hAnsi="Arial" w:cs="Arial"/>
        </w:rPr>
        <w:t>受託機構應就特殊目的信託之信託財產作成書表，下列敘述，何者正確？</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向受益人會議報告，並通知主管機關</w:t>
      </w:r>
      <w:r w:rsidRPr="00A65CD5">
        <w:rPr>
          <w:rFonts w:ascii="Arial" w:eastAsia="標楷體" w:hAnsi="Arial" w:cs="Arial"/>
        </w:rPr>
        <w:tab/>
        <w:t>(B)</w:t>
      </w:r>
      <w:r w:rsidRPr="00A65CD5">
        <w:rPr>
          <w:rFonts w:ascii="Arial" w:eastAsia="標楷體" w:hAnsi="Arial" w:cs="Arial"/>
        </w:rPr>
        <w:t>向受益人會議報告，並通知信託監察人</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向信託監察人報告，並通知主管機關</w:t>
      </w:r>
      <w:r w:rsidRPr="00A65CD5">
        <w:rPr>
          <w:rFonts w:ascii="Arial" w:eastAsia="標楷體" w:hAnsi="Arial" w:cs="Arial"/>
        </w:rPr>
        <w:tab/>
        <w:t>(D)</w:t>
      </w:r>
      <w:r w:rsidRPr="00A65CD5">
        <w:rPr>
          <w:rFonts w:ascii="Arial" w:eastAsia="標楷體" w:hAnsi="Arial" w:cs="Arial"/>
        </w:rPr>
        <w:t>向信託監察人報告，並通知各受益人</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有關受益證券之稅負，下列敘述，何者正確？</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除經主管機關核定為公司債券者外，其買賣按公債之稅率課徵交易稅</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(B)</w:t>
      </w:r>
      <w:r w:rsidRPr="00A65CD5">
        <w:rPr>
          <w:rFonts w:ascii="Arial" w:eastAsia="標楷體" w:hAnsi="Arial" w:cs="Arial"/>
        </w:rPr>
        <w:t>除經主管機關核定為公債債券者外，其買賣按公司債之稅率課徵交易稅</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除經主管機關核定為短期票</w:t>
      </w:r>
      <w:proofErr w:type="gramStart"/>
      <w:r w:rsidRPr="00A65CD5">
        <w:rPr>
          <w:rFonts w:ascii="Arial" w:eastAsia="標楷體" w:hAnsi="Arial" w:cs="Arial"/>
        </w:rPr>
        <w:t>券</w:t>
      </w:r>
      <w:proofErr w:type="gramEnd"/>
      <w:r w:rsidRPr="00A65CD5">
        <w:rPr>
          <w:rFonts w:ascii="Arial" w:eastAsia="標楷體" w:hAnsi="Arial" w:cs="Arial"/>
        </w:rPr>
        <w:t>者外，其買賣按公司債之稅率課徵證券交易稅</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(D)</w:t>
      </w:r>
      <w:r w:rsidRPr="00A65CD5">
        <w:rPr>
          <w:rFonts w:ascii="Arial" w:eastAsia="標楷體" w:hAnsi="Arial" w:cs="Arial"/>
        </w:rPr>
        <w:t>除經主管機關核定為公司債者外，其買賣</w:t>
      </w:r>
      <w:proofErr w:type="gramStart"/>
      <w:r w:rsidRPr="00A65CD5">
        <w:rPr>
          <w:rFonts w:ascii="Arial" w:eastAsia="標楷體" w:hAnsi="Arial" w:cs="Arial"/>
        </w:rPr>
        <w:t>按短期票券</w:t>
      </w:r>
      <w:proofErr w:type="gramEnd"/>
      <w:r w:rsidRPr="00A65CD5">
        <w:rPr>
          <w:rFonts w:ascii="Arial" w:eastAsia="標楷體" w:hAnsi="Arial" w:cs="Arial"/>
        </w:rPr>
        <w:t>之稅率課徵交易稅</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有關受益人會議之召集，下列敘述，何者錯誤？</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得由受託機構召集之</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(B)</w:t>
      </w:r>
      <w:r w:rsidRPr="00A65CD5">
        <w:rPr>
          <w:rFonts w:ascii="Arial" w:eastAsia="標楷體" w:hAnsi="Arial" w:cs="Arial"/>
        </w:rPr>
        <w:t>得由信託監察人召集之</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持有本金持分總數百分之三以上之受益人，得報經主管機關許可後自行召集之</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(D)</w:t>
      </w:r>
      <w:r w:rsidRPr="00A65CD5">
        <w:rPr>
          <w:rFonts w:ascii="Arial" w:eastAsia="標楷體" w:hAnsi="Arial" w:cs="Arial"/>
        </w:rPr>
        <w:t>主管機關於必要時，得依職權召集之</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有關特殊目的信託之信託監察人，下列敘述，何者正確？</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受託機構應選任信託監察人</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(B)</w:t>
      </w:r>
      <w:r w:rsidRPr="00A65CD5">
        <w:rPr>
          <w:rFonts w:ascii="Arial" w:eastAsia="標楷體" w:hAnsi="Arial" w:cs="Arial"/>
        </w:rPr>
        <w:t>主管機構得命受託機構選任信託監察人</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受託機構得依特殊目的信託契約之約定，選任信託監察人</w:t>
      </w:r>
    </w:p>
    <w:p w:rsidR="0081485A"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(D)</w:t>
      </w:r>
      <w:r w:rsidRPr="00A65CD5">
        <w:rPr>
          <w:rFonts w:ascii="Arial" w:eastAsia="標楷體" w:hAnsi="Arial" w:cs="Arial"/>
        </w:rPr>
        <w:t>受託機構得依受益人會議之決議，選任信託監察人</w:t>
      </w:r>
    </w:p>
    <w:p w:rsidR="0081485A"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lastRenderedPageBreak/>
        <w:t>下列何者非主管機關委託專門職業及技術人員，對不動產證券化關係人進行查核三大項目之</w:t>
      </w:r>
      <w:proofErr w:type="gramStart"/>
      <w:r w:rsidRPr="00A65CD5">
        <w:rPr>
          <w:rFonts w:ascii="Arial" w:eastAsia="標楷體" w:hAnsi="Arial" w:cs="Arial"/>
        </w:rPr>
        <w:t>一</w:t>
      </w:r>
      <w:proofErr w:type="gramEnd"/>
      <w:r w:rsidRPr="00A65CD5">
        <w:rPr>
          <w:rFonts w:ascii="Arial" w:eastAsia="標楷體" w:hAnsi="Arial" w:cs="Arial"/>
        </w:rPr>
        <w:t>？</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法務方面</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(B)</w:t>
      </w:r>
      <w:r w:rsidRPr="00A65CD5">
        <w:rPr>
          <w:rFonts w:ascii="Arial" w:eastAsia="標楷體" w:hAnsi="Arial" w:cs="Arial"/>
        </w:rPr>
        <w:t>業務方面</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財務方面</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(D)</w:t>
      </w:r>
      <w:r w:rsidRPr="00A65CD5">
        <w:rPr>
          <w:rFonts w:ascii="Arial" w:eastAsia="標楷體" w:hAnsi="Arial" w:cs="Arial"/>
        </w:rPr>
        <w:t>預警、紀律及</w:t>
      </w:r>
      <w:proofErr w:type="gramStart"/>
      <w:r w:rsidRPr="00A65CD5">
        <w:rPr>
          <w:rFonts w:ascii="Arial" w:eastAsia="標楷體" w:hAnsi="Arial" w:cs="Arial"/>
        </w:rPr>
        <w:t>內部控</w:t>
      </w:r>
      <w:proofErr w:type="gramEnd"/>
      <w:r w:rsidRPr="00A65CD5">
        <w:rPr>
          <w:rFonts w:ascii="Arial" w:eastAsia="標楷體" w:hAnsi="Arial" w:cs="Arial"/>
        </w:rPr>
        <w:t>管有關事項</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有關受託機構募集受益證券，下列敘述，何者正確？</w:t>
      </w:r>
    </w:p>
    <w:p w:rsidR="0081485A" w:rsidRPr="00A65CD5" w:rsidRDefault="0081485A" w:rsidP="0081485A">
      <w:pPr>
        <w:tabs>
          <w:tab w:val="left" w:pos="2977"/>
          <w:tab w:val="left" w:pos="5387"/>
          <w:tab w:val="left" w:pos="7797"/>
        </w:tabs>
        <w:snapToGrid w:val="0"/>
        <w:spacing w:before="20" w:after="20" w:line="300" w:lineRule="exact"/>
        <w:ind w:leftChars="199" w:left="812" w:hanging="334"/>
        <w:rPr>
          <w:rFonts w:ascii="Arial" w:eastAsia="標楷體" w:hAnsi="Arial" w:cs="Arial"/>
        </w:rPr>
      </w:pPr>
      <w:r w:rsidRPr="00A65CD5">
        <w:rPr>
          <w:rFonts w:ascii="Arial" w:eastAsia="標楷體" w:hAnsi="Arial" w:cs="Arial"/>
        </w:rPr>
        <w:t>(A)</w:t>
      </w:r>
      <w:r w:rsidRPr="00A65CD5">
        <w:rPr>
          <w:rFonts w:ascii="Arial" w:eastAsia="標楷體" w:hAnsi="Arial" w:cs="Arial"/>
        </w:rPr>
        <w:t>應檢具申請書，送中華民國信託業商業同業會審查後，經臺灣證券交易所或櫃檯買賣中心核准後，始得為之</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(B)</w:t>
      </w:r>
      <w:r w:rsidRPr="00A65CD5">
        <w:rPr>
          <w:rFonts w:ascii="Arial" w:eastAsia="標楷體" w:hAnsi="Arial" w:cs="Arial"/>
        </w:rPr>
        <w:t>應檢具申請書，送中華民國信託業商業同業會審查後，經主管機關核准後，始得為之</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應檢具申請書，送臺灣證券交易所或櫃檯買賣中心審查後，轉報主管機關核准後，始得為之</w:t>
      </w:r>
    </w:p>
    <w:p w:rsidR="0081485A" w:rsidRPr="00A65CD5" w:rsidRDefault="0081485A" w:rsidP="0081485A">
      <w:pPr>
        <w:tabs>
          <w:tab w:val="left" w:pos="2977"/>
          <w:tab w:val="left" w:pos="5387"/>
          <w:tab w:val="left" w:pos="7797"/>
        </w:tabs>
        <w:snapToGrid w:val="0"/>
        <w:spacing w:before="20" w:after="20" w:line="300" w:lineRule="exact"/>
        <w:ind w:leftChars="199" w:left="812" w:hanging="334"/>
        <w:rPr>
          <w:rFonts w:ascii="Arial" w:eastAsia="標楷體" w:hAnsi="Arial" w:cs="Arial"/>
        </w:rPr>
      </w:pPr>
      <w:r w:rsidRPr="00A65CD5">
        <w:rPr>
          <w:rFonts w:ascii="Arial" w:eastAsia="標楷體" w:hAnsi="Arial" w:cs="Arial"/>
        </w:rPr>
        <w:t>(D)</w:t>
      </w:r>
      <w:r w:rsidRPr="00A65CD5">
        <w:rPr>
          <w:rFonts w:ascii="Arial" w:eastAsia="標楷體" w:hAnsi="Arial" w:cs="Arial"/>
        </w:rPr>
        <w:t>應檢具申請書，送中華民國信託業商業同業會審查後，經臺灣證券交易所或櫃檯買賣中心或主管機關核准後，始得為之</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有關資產基礎證券之私</w:t>
      </w:r>
      <w:proofErr w:type="gramStart"/>
      <w:r w:rsidRPr="00A65CD5">
        <w:rPr>
          <w:rFonts w:ascii="Arial" w:eastAsia="標楷體" w:hAnsi="Arial" w:cs="Arial"/>
        </w:rPr>
        <w:t>募</w:t>
      </w:r>
      <w:proofErr w:type="gramEnd"/>
      <w:r w:rsidRPr="00A65CD5">
        <w:rPr>
          <w:rFonts w:ascii="Arial" w:eastAsia="標楷體" w:hAnsi="Arial" w:cs="Arial"/>
        </w:rPr>
        <w:t>，下列敘述，何者錯誤？</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不得為一般性廣告</w:t>
      </w:r>
      <w:r w:rsidRPr="00A65CD5">
        <w:rPr>
          <w:rFonts w:ascii="Arial" w:eastAsia="標楷體" w:hAnsi="Arial" w:cs="Arial"/>
        </w:rPr>
        <w:tab/>
      </w:r>
      <w:r w:rsidRPr="00A65CD5">
        <w:rPr>
          <w:rFonts w:ascii="Arial" w:eastAsia="標楷體" w:hAnsi="Arial" w:cs="Arial"/>
        </w:rPr>
        <w:tab/>
        <w:t>(B)</w:t>
      </w:r>
      <w:r w:rsidRPr="00A65CD5">
        <w:rPr>
          <w:rFonts w:ascii="Arial" w:eastAsia="標楷體" w:hAnsi="Arial" w:cs="Arial"/>
        </w:rPr>
        <w:t>不得為公開勸誘之行為</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hAnsi="Arial" w:cs="Arial"/>
          <w:color w:val="FF0000"/>
        </w:rPr>
      </w:pPr>
      <w:r w:rsidRPr="00A65CD5">
        <w:rPr>
          <w:rFonts w:ascii="Arial" w:eastAsia="標楷體" w:hAnsi="Arial" w:cs="Arial"/>
        </w:rPr>
        <w:t>(C)</w:t>
      </w:r>
      <w:r w:rsidRPr="00A65CD5">
        <w:rPr>
          <w:rFonts w:ascii="Arial" w:eastAsia="標楷體" w:hAnsi="Arial" w:cs="Arial"/>
        </w:rPr>
        <w:t>除法律另有規定外，得再行賣出</w:t>
      </w:r>
      <w:r w:rsidRPr="00A65CD5">
        <w:rPr>
          <w:rFonts w:ascii="Arial" w:eastAsia="標楷體" w:hAnsi="Arial" w:cs="Arial"/>
        </w:rPr>
        <w:tab/>
        <w:t>(D)</w:t>
      </w:r>
      <w:r w:rsidRPr="00A65CD5">
        <w:rPr>
          <w:rFonts w:ascii="Arial" w:eastAsia="標楷體" w:hAnsi="Arial" w:cs="Arial"/>
        </w:rPr>
        <w:t>經核定為短期票</w:t>
      </w:r>
      <w:proofErr w:type="gramStart"/>
      <w:r w:rsidRPr="00A65CD5">
        <w:rPr>
          <w:rFonts w:ascii="Arial" w:eastAsia="標楷體" w:hAnsi="Arial" w:cs="Arial"/>
        </w:rPr>
        <w:t>券</w:t>
      </w:r>
      <w:proofErr w:type="gramEnd"/>
      <w:r w:rsidRPr="00A65CD5">
        <w:rPr>
          <w:rFonts w:ascii="Arial" w:eastAsia="標楷體" w:hAnsi="Arial" w:cs="Arial"/>
        </w:rPr>
        <w:t>者，得再行賣出</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受託機關公開招募受益證券，下列有關公開說明書之敘述，何者錯誤？</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應以電子檔案方式傳送至金融監督管理委員會指定之資訊申報網站</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(B)</w:t>
      </w:r>
      <w:r w:rsidRPr="00A65CD5">
        <w:rPr>
          <w:rFonts w:ascii="Arial" w:eastAsia="標楷體" w:hAnsi="Arial" w:cs="Arial"/>
        </w:rPr>
        <w:t>應以電子檔案方式傳送至臺灣證券交易所或櫃檯買賣中心指定之資訊申報網站</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應以書面備置於證券暨期貨市場發展基金會</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(D)</w:t>
      </w:r>
      <w:r w:rsidRPr="00A65CD5">
        <w:rPr>
          <w:rFonts w:ascii="Arial" w:eastAsia="標楷體" w:hAnsi="Arial" w:cs="Arial"/>
        </w:rPr>
        <w:t>應以書面備置於證券商業同業公會</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受託機構應分別於每營業年度終了及資產信託證券化計畫執行完成後幾個月內，就特殊目的信託之信託財產作成資產負債表，向信託監察人報告，並通知各受益人？</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proofErr w:type="gramStart"/>
      <w:r w:rsidRPr="00A65CD5">
        <w:rPr>
          <w:rFonts w:ascii="Arial" w:eastAsia="標楷體" w:hAnsi="Arial" w:cs="Arial"/>
        </w:rPr>
        <w:t>一</w:t>
      </w:r>
      <w:proofErr w:type="gramEnd"/>
      <w:r w:rsidRPr="00A65CD5">
        <w:rPr>
          <w:rFonts w:ascii="Arial" w:eastAsia="標楷體" w:hAnsi="Arial" w:cs="Arial"/>
        </w:rPr>
        <w:tab/>
        <w:t>(B)</w:t>
      </w:r>
      <w:r w:rsidRPr="00A65CD5">
        <w:rPr>
          <w:rFonts w:ascii="Arial" w:eastAsia="標楷體" w:hAnsi="Arial" w:cs="Arial"/>
        </w:rPr>
        <w:t>二</w:t>
      </w:r>
      <w:r w:rsidRPr="00A65CD5">
        <w:rPr>
          <w:rFonts w:ascii="Arial" w:eastAsia="標楷體" w:hAnsi="Arial" w:cs="Arial"/>
        </w:rPr>
        <w:tab/>
        <w:t>(C)</w:t>
      </w:r>
      <w:r w:rsidRPr="00A65CD5">
        <w:rPr>
          <w:rFonts w:ascii="Arial" w:eastAsia="標楷體" w:hAnsi="Arial" w:cs="Arial"/>
        </w:rPr>
        <w:t>三</w:t>
      </w:r>
      <w:r w:rsidRPr="00A65CD5">
        <w:rPr>
          <w:rFonts w:ascii="Arial" w:eastAsia="標楷體" w:hAnsi="Arial" w:cs="Arial"/>
        </w:rPr>
        <w:tab/>
        <w:t>(D)</w:t>
      </w:r>
      <w:r w:rsidRPr="00A65CD5">
        <w:rPr>
          <w:rFonts w:ascii="Arial" w:eastAsia="標楷體" w:hAnsi="Arial" w:cs="Arial"/>
        </w:rPr>
        <w:t>四</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依不動產證券化條例之規定，下列何者非屬可擔任不動產管理機構者？</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營造業</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(B)</w:t>
      </w:r>
      <w:r w:rsidRPr="00A65CD5">
        <w:rPr>
          <w:rFonts w:ascii="Arial" w:eastAsia="標楷體" w:hAnsi="Arial" w:cs="Arial"/>
        </w:rPr>
        <w:t>建築經理業</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不動產經紀業</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(D)</w:t>
      </w:r>
      <w:r w:rsidRPr="00A65CD5">
        <w:rPr>
          <w:rFonts w:ascii="Arial" w:eastAsia="標楷體" w:hAnsi="Arial" w:cs="Arial"/>
        </w:rPr>
        <w:t>不動產投資業</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特殊目的信託契約之終止，應經受益人會議之決議，且其決議應以下列何種方法為之？</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應有表決權總數二分之一以上受益人之出席，出席受益人表決權三分之二以上之同意行之</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(B)</w:t>
      </w:r>
      <w:r w:rsidRPr="00A65CD5">
        <w:rPr>
          <w:rFonts w:ascii="Arial" w:eastAsia="標楷體" w:hAnsi="Arial" w:cs="Arial"/>
        </w:rPr>
        <w:t>應有表決權總數二分之一以上受益人之出席，出席受益人表決權二分之一以上之同意行之</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應有表決權總數四分之三以上受益人之出席，出席受益人表決權三分之二以上之同意行之</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(D)</w:t>
      </w:r>
      <w:r w:rsidRPr="00A65CD5">
        <w:rPr>
          <w:rFonts w:ascii="Arial" w:eastAsia="標楷體" w:hAnsi="Arial" w:cs="Arial"/>
        </w:rPr>
        <w:t>應經全體受益人之同意行之</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特殊目的信託財產之收入，減除成本及必要費用後之收益，為受益人之利息所得，於實際分配時，應以下列何者為扣繳義務人，依規定之扣繳率扣繳稅款？</w:t>
      </w:r>
    </w:p>
    <w:p w:rsidR="0081485A"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受益人</w:t>
      </w:r>
      <w:r w:rsidRPr="00A65CD5">
        <w:rPr>
          <w:rFonts w:ascii="Arial" w:eastAsia="標楷體" w:hAnsi="Arial" w:cs="Arial"/>
        </w:rPr>
        <w:tab/>
      </w:r>
      <w:r>
        <w:rPr>
          <w:rFonts w:ascii="Arial" w:eastAsia="標楷體" w:hAnsi="Arial" w:cs="Arial" w:hint="eastAsia"/>
        </w:rPr>
        <w:tab/>
      </w:r>
      <w:r w:rsidRPr="00A65CD5">
        <w:rPr>
          <w:rFonts w:ascii="Arial" w:eastAsia="標楷體" w:hAnsi="Arial" w:cs="Arial"/>
        </w:rPr>
        <w:t>(B)</w:t>
      </w:r>
      <w:r w:rsidRPr="00A65CD5">
        <w:rPr>
          <w:rFonts w:ascii="Arial" w:eastAsia="標楷體" w:hAnsi="Arial" w:cs="Arial"/>
        </w:rPr>
        <w:t>受託機構</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創始機構</w:t>
      </w:r>
      <w:r w:rsidRPr="00A65CD5">
        <w:rPr>
          <w:rFonts w:ascii="Arial" w:eastAsia="標楷體" w:hAnsi="Arial" w:cs="Arial"/>
        </w:rPr>
        <w:tab/>
      </w:r>
      <w:r>
        <w:rPr>
          <w:rFonts w:ascii="Arial" w:eastAsia="標楷體" w:hAnsi="Arial" w:cs="Arial" w:hint="eastAsia"/>
        </w:rPr>
        <w:tab/>
      </w:r>
      <w:r w:rsidRPr="00A65CD5">
        <w:rPr>
          <w:rFonts w:ascii="Arial" w:eastAsia="標楷體" w:hAnsi="Arial" w:cs="Arial"/>
        </w:rPr>
        <w:t>(D)</w:t>
      </w:r>
      <w:r w:rsidRPr="00A65CD5">
        <w:rPr>
          <w:rFonts w:ascii="Arial" w:eastAsia="標楷體" w:hAnsi="Arial" w:cs="Arial"/>
        </w:rPr>
        <w:t>服務機構</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受益人依金融資產證券化條例之規定行使表決權及兌領本金、其所生利益、孳息或其他收益時，應依下列何者辦理？</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信託監察人之通知</w:t>
      </w:r>
      <w:r w:rsidRPr="00A65CD5">
        <w:rPr>
          <w:rFonts w:ascii="Arial" w:eastAsia="標楷體" w:hAnsi="Arial" w:cs="Arial"/>
        </w:rPr>
        <w:tab/>
      </w:r>
      <w:r w:rsidRPr="00A65CD5">
        <w:rPr>
          <w:rFonts w:ascii="Arial" w:eastAsia="標楷體" w:hAnsi="Arial" w:cs="Arial"/>
        </w:rPr>
        <w:tab/>
        <w:t>(B)</w:t>
      </w:r>
      <w:r w:rsidRPr="00A65CD5">
        <w:rPr>
          <w:rFonts w:ascii="Arial" w:eastAsia="標楷體" w:hAnsi="Arial" w:cs="Arial"/>
        </w:rPr>
        <w:t>服務機構之同意</w:t>
      </w:r>
    </w:p>
    <w:p w:rsidR="0081485A"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受託機構之通知</w:t>
      </w:r>
      <w:r w:rsidRPr="00A65CD5">
        <w:rPr>
          <w:rFonts w:ascii="Arial" w:eastAsia="標楷體" w:hAnsi="Arial" w:cs="Arial"/>
        </w:rPr>
        <w:tab/>
      </w:r>
      <w:r w:rsidRPr="00A65CD5">
        <w:rPr>
          <w:rFonts w:ascii="Arial" w:eastAsia="標楷體" w:hAnsi="Arial" w:cs="Arial"/>
        </w:rPr>
        <w:tab/>
        <w:t>(D)</w:t>
      </w:r>
      <w:r w:rsidRPr="00A65CD5">
        <w:rPr>
          <w:rFonts w:ascii="Arial" w:eastAsia="標楷體" w:hAnsi="Arial" w:cs="Arial"/>
        </w:rPr>
        <w:t>特殊目的信託契約之約定</w:t>
      </w:r>
    </w:p>
    <w:p w:rsidR="0081485A"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lastRenderedPageBreak/>
        <w:t>受託機構為辦理金融資產證券化而向特定人私募受益證券時，應依主管機關規定之方式，向應募人或購買人提供下列何種文件？</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公開說明書</w:t>
      </w:r>
      <w:r w:rsidRPr="00A65CD5">
        <w:rPr>
          <w:rFonts w:ascii="Arial" w:eastAsia="標楷體" w:hAnsi="Arial" w:cs="Arial"/>
        </w:rPr>
        <w:tab/>
        <w:t>(B)</w:t>
      </w:r>
      <w:r w:rsidRPr="00A65CD5">
        <w:rPr>
          <w:rFonts w:ascii="Arial" w:eastAsia="標楷體" w:hAnsi="Arial" w:cs="Arial"/>
        </w:rPr>
        <w:t>財務預測</w:t>
      </w:r>
      <w:r w:rsidRPr="00A65CD5">
        <w:rPr>
          <w:rFonts w:ascii="Arial" w:eastAsia="標楷體" w:hAnsi="Arial" w:cs="Arial"/>
        </w:rPr>
        <w:tab/>
        <w:t>(C)</w:t>
      </w:r>
      <w:r w:rsidRPr="00A65CD5">
        <w:rPr>
          <w:rFonts w:ascii="Arial" w:eastAsia="標楷體" w:hAnsi="Arial" w:cs="Arial"/>
        </w:rPr>
        <w:t>投資說明書</w:t>
      </w:r>
      <w:r w:rsidRPr="00A65CD5">
        <w:rPr>
          <w:rFonts w:ascii="Arial" w:eastAsia="標楷體" w:hAnsi="Arial" w:cs="Arial"/>
        </w:rPr>
        <w:tab/>
        <w:t>(D)</w:t>
      </w:r>
      <w:r w:rsidRPr="00A65CD5">
        <w:rPr>
          <w:rFonts w:ascii="Arial" w:eastAsia="標楷體" w:hAnsi="Arial" w:cs="Arial"/>
        </w:rPr>
        <w:t>財務報告</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依「受託機構公開招募受益證券特殊目的公司公開招募資產基礎證券公開說明書應行記載事項準則」之規定，公開說明書之封底，除應依序刊印受託機構或特殊目的公司之總經理簽名或蓋章外，尚應有多少比例董事之簽名或蓋章？</w:t>
      </w:r>
    </w:p>
    <w:p w:rsidR="0081485A" w:rsidRPr="00A65CD5" w:rsidRDefault="0081485A" w:rsidP="0081485A">
      <w:pPr>
        <w:tabs>
          <w:tab w:val="left" w:pos="2977"/>
          <w:tab w:val="left" w:pos="538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過半數董事</w:t>
      </w:r>
      <w:r w:rsidRPr="00A65CD5">
        <w:rPr>
          <w:rFonts w:ascii="Arial" w:eastAsia="標楷體" w:hAnsi="Arial" w:cs="Arial"/>
        </w:rPr>
        <w:tab/>
      </w:r>
      <w:r w:rsidRPr="00A65CD5">
        <w:rPr>
          <w:rFonts w:ascii="Arial" w:eastAsia="標楷體" w:hAnsi="Arial" w:cs="Arial"/>
        </w:rPr>
        <w:tab/>
        <w:t>(B)</w:t>
      </w:r>
      <w:r w:rsidRPr="00A65CD5">
        <w:rPr>
          <w:rFonts w:ascii="Arial" w:eastAsia="標楷體" w:hAnsi="Arial" w:cs="Arial"/>
        </w:rPr>
        <w:t>三分之二以上董事</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四分之三以上董事</w:t>
      </w:r>
      <w:r w:rsidRPr="00A65CD5">
        <w:rPr>
          <w:rFonts w:ascii="Arial" w:eastAsia="標楷體" w:hAnsi="Arial" w:cs="Arial"/>
        </w:rPr>
        <w:tab/>
      </w:r>
      <w:r w:rsidRPr="00A65CD5">
        <w:rPr>
          <w:rFonts w:ascii="Arial" w:eastAsia="標楷體" w:hAnsi="Arial" w:cs="Arial"/>
        </w:rPr>
        <w:tab/>
        <w:t>(D)</w:t>
      </w:r>
      <w:r w:rsidRPr="00A65CD5">
        <w:rPr>
          <w:rFonts w:ascii="Arial" w:eastAsia="標楷體" w:hAnsi="Arial" w:cs="Arial"/>
        </w:rPr>
        <w:t>全體董事</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受託機構依法解任時，應即作成信託財產之資產負債表、損益表及管理運用報告書，於受益人會議開會幾日前，備置於受託機構供受益人查閱？</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七日</w:t>
      </w:r>
      <w:r>
        <w:rPr>
          <w:rFonts w:ascii="Arial" w:eastAsia="標楷體" w:hAnsi="Arial" w:cs="Arial" w:hint="eastAsia"/>
        </w:rPr>
        <w:tab/>
      </w:r>
      <w:r w:rsidRPr="00A65CD5">
        <w:rPr>
          <w:rFonts w:ascii="Arial" w:eastAsia="標楷體" w:hAnsi="Arial" w:cs="Arial"/>
        </w:rPr>
        <w:t>(B)</w:t>
      </w:r>
      <w:r w:rsidRPr="00A65CD5">
        <w:rPr>
          <w:rFonts w:ascii="Arial" w:eastAsia="標楷體" w:hAnsi="Arial" w:cs="Arial"/>
        </w:rPr>
        <w:t>十日</w:t>
      </w:r>
      <w:r>
        <w:rPr>
          <w:rFonts w:ascii="Arial" w:eastAsia="標楷體" w:hAnsi="Arial" w:cs="Arial" w:hint="eastAsia"/>
        </w:rPr>
        <w:tab/>
      </w:r>
      <w:r w:rsidRPr="00A65CD5">
        <w:rPr>
          <w:rFonts w:ascii="Arial" w:eastAsia="標楷體" w:hAnsi="Arial" w:cs="Arial"/>
        </w:rPr>
        <w:t>(C)</w:t>
      </w:r>
      <w:r w:rsidRPr="00A65CD5">
        <w:rPr>
          <w:rFonts w:ascii="Arial" w:eastAsia="標楷體" w:hAnsi="Arial" w:cs="Arial"/>
        </w:rPr>
        <w:t>十四日</w:t>
      </w:r>
      <w:r>
        <w:rPr>
          <w:rFonts w:ascii="Arial" w:eastAsia="標楷體" w:hAnsi="Arial" w:cs="Arial" w:hint="eastAsia"/>
        </w:rPr>
        <w:tab/>
      </w:r>
      <w:r w:rsidRPr="00A65CD5">
        <w:rPr>
          <w:rFonts w:ascii="Arial" w:eastAsia="標楷體" w:hAnsi="Arial" w:cs="Arial"/>
        </w:rPr>
        <w:t>(D)</w:t>
      </w:r>
      <w:r w:rsidRPr="00A65CD5">
        <w:rPr>
          <w:rFonts w:ascii="Arial" w:eastAsia="標楷體" w:hAnsi="Arial" w:cs="Arial"/>
        </w:rPr>
        <w:t>二十日</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受託機構應依不動產證券化條例之規定、不動產投資信託計畫及不動產投資信託契約之約定，募集發行及投資運用不動產投資信託基金。下列敘述何者錯誤？</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spacing w:val="-4"/>
        </w:rPr>
        <w:t>投資於任</w:t>
      </w:r>
      <w:proofErr w:type="gramStart"/>
      <w:r w:rsidRPr="00A65CD5">
        <w:rPr>
          <w:rFonts w:ascii="Arial" w:eastAsia="標楷體" w:hAnsi="Arial" w:cs="Arial"/>
          <w:spacing w:val="-4"/>
        </w:rPr>
        <w:t>一</w:t>
      </w:r>
      <w:proofErr w:type="gramEnd"/>
      <w:r w:rsidRPr="00A65CD5">
        <w:rPr>
          <w:rFonts w:ascii="Arial" w:eastAsia="標楷體" w:hAnsi="Arial" w:cs="Arial"/>
          <w:spacing w:val="-4"/>
        </w:rPr>
        <w:t>公司短期票</w:t>
      </w:r>
      <w:proofErr w:type="gramStart"/>
      <w:r w:rsidRPr="00A65CD5">
        <w:rPr>
          <w:rFonts w:ascii="Arial" w:eastAsia="標楷體" w:hAnsi="Arial" w:cs="Arial"/>
          <w:spacing w:val="-4"/>
        </w:rPr>
        <w:t>券</w:t>
      </w:r>
      <w:proofErr w:type="gramEnd"/>
      <w:r w:rsidRPr="00A65CD5">
        <w:rPr>
          <w:rFonts w:ascii="Arial" w:eastAsia="標楷體" w:hAnsi="Arial" w:cs="Arial"/>
          <w:spacing w:val="-4"/>
        </w:rPr>
        <w:t>之總金額，不得超過投資當日該不動產投資信託基金淨資產價值百分之十</w:t>
      </w:r>
    </w:p>
    <w:p w:rsidR="0081485A" w:rsidRPr="00A65CD5" w:rsidRDefault="0081485A" w:rsidP="0081485A">
      <w:pPr>
        <w:tabs>
          <w:tab w:val="left" w:pos="2977"/>
          <w:tab w:val="left" w:pos="5387"/>
          <w:tab w:val="left" w:pos="7797"/>
        </w:tabs>
        <w:snapToGrid w:val="0"/>
        <w:spacing w:before="20" w:after="20" w:line="300" w:lineRule="exact"/>
        <w:ind w:leftChars="199" w:left="812" w:hanging="334"/>
        <w:rPr>
          <w:rFonts w:ascii="Arial" w:eastAsia="標楷體" w:hAnsi="Arial" w:cs="Arial"/>
        </w:rPr>
      </w:pPr>
      <w:r w:rsidRPr="00A65CD5">
        <w:rPr>
          <w:rFonts w:ascii="Arial" w:eastAsia="標楷體" w:hAnsi="Arial" w:cs="Arial"/>
        </w:rPr>
        <w:t>(B)</w:t>
      </w:r>
      <w:r w:rsidRPr="00A65CD5">
        <w:rPr>
          <w:rFonts w:ascii="Arial" w:eastAsia="標楷體" w:hAnsi="Arial" w:cs="Arial"/>
        </w:rPr>
        <w:t>存放於同一金融機構之存款，以及投資於其發行、保證或承兌之債券或短期票</w:t>
      </w:r>
      <w:proofErr w:type="gramStart"/>
      <w:r w:rsidRPr="00A65CD5">
        <w:rPr>
          <w:rFonts w:ascii="Arial" w:eastAsia="標楷體" w:hAnsi="Arial" w:cs="Arial"/>
        </w:rPr>
        <w:t>券</w:t>
      </w:r>
      <w:proofErr w:type="gramEnd"/>
      <w:r w:rsidRPr="00A65CD5">
        <w:rPr>
          <w:rFonts w:ascii="Arial" w:eastAsia="標楷體" w:hAnsi="Arial" w:cs="Arial"/>
        </w:rPr>
        <w:t>金額，合計不得超過投資當日該不動產投資信託基金淨資產價值百分之二十及該金融機構淨值百分之十</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應依風險分散原則，投資於不動產及不動產相關權利</w:t>
      </w:r>
    </w:p>
    <w:p w:rsidR="0081485A" w:rsidRPr="00A65CD5" w:rsidRDefault="0081485A" w:rsidP="0081485A">
      <w:pPr>
        <w:tabs>
          <w:tab w:val="left" w:pos="2977"/>
          <w:tab w:val="left" w:pos="5387"/>
          <w:tab w:val="left" w:pos="7797"/>
        </w:tabs>
        <w:snapToGrid w:val="0"/>
        <w:spacing w:before="20" w:after="20" w:line="300" w:lineRule="exact"/>
        <w:ind w:leftChars="199" w:left="812" w:hanging="334"/>
        <w:rPr>
          <w:rFonts w:ascii="Arial" w:eastAsia="標楷體" w:hAnsi="Arial" w:cs="Arial"/>
        </w:rPr>
      </w:pPr>
      <w:r w:rsidRPr="00A65CD5">
        <w:rPr>
          <w:rFonts w:ascii="Arial" w:eastAsia="標楷體" w:hAnsi="Arial" w:cs="Arial"/>
        </w:rPr>
        <w:t>(D)</w:t>
      </w:r>
      <w:proofErr w:type="gramStart"/>
      <w:r w:rsidRPr="00A65CD5">
        <w:rPr>
          <w:rFonts w:ascii="Arial" w:eastAsia="標楷體" w:hAnsi="Arial" w:cs="Arial"/>
        </w:rPr>
        <w:t>得藉該</w:t>
      </w:r>
      <w:proofErr w:type="gramEnd"/>
      <w:r w:rsidRPr="00A65CD5">
        <w:rPr>
          <w:rFonts w:ascii="Arial" w:eastAsia="標楷體" w:hAnsi="Arial" w:cs="Arial"/>
        </w:rPr>
        <w:t>不動產投資信託基金經主管機關核准或申報生效，作為保證其申請事項或文件之真實或保證受益證券獲利之宣傳</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受託機構為募集或私募不動產資產信託受益證券，而依法向主管機關申請核准或申報生效前，應先辦理下列事項？</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應洽商中央目的事業主管機關出具意見書</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(B)</w:t>
      </w:r>
      <w:r w:rsidRPr="00A65CD5">
        <w:rPr>
          <w:rFonts w:ascii="Arial" w:eastAsia="標楷體" w:hAnsi="Arial" w:cs="Arial"/>
        </w:rPr>
        <w:t>應先洽請專業估價者就不動產資產信託之信託財產，依不動產估價師法之規定出具估價報告書</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應先洽商證券主管機關核准</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(D)</w:t>
      </w:r>
      <w:r w:rsidRPr="00A65CD5">
        <w:rPr>
          <w:rFonts w:ascii="Arial" w:eastAsia="標楷體" w:hAnsi="Arial" w:cs="Arial"/>
        </w:rPr>
        <w:t>應先取得信託監察人之同意</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下列何者對不動產投資信託基金之說明錯誤？</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不動產投資信託基金，係指不動產投資信託契約之信託財產</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(B)</w:t>
      </w:r>
      <w:r w:rsidRPr="00A65CD5">
        <w:rPr>
          <w:rFonts w:ascii="Arial" w:eastAsia="標楷體" w:hAnsi="Arial" w:cs="Arial"/>
        </w:rPr>
        <w:t>封閉型基金，係指於基金存續</w:t>
      </w:r>
      <w:proofErr w:type="gramStart"/>
      <w:r w:rsidRPr="00A65CD5">
        <w:rPr>
          <w:rFonts w:ascii="Arial" w:eastAsia="標楷體" w:hAnsi="Arial" w:cs="Arial"/>
        </w:rPr>
        <w:t>期間，</w:t>
      </w:r>
      <w:proofErr w:type="gramEnd"/>
      <w:r w:rsidRPr="00A65CD5">
        <w:rPr>
          <w:rFonts w:ascii="Arial" w:eastAsia="標楷體" w:hAnsi="Arial" w:cs="Arial"/>
        </w:rPr>
        <w:t>投資人得隨時請求受託機構買回其持有受益證券之基金</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已有穩定收入之不動產，得成為不動產投資信託基金之投資或運用標的</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(D)</w:t>
      </w:r>
      <w:r w:rsidRPr="00A65CD5">
        <w:rPr>
          <w:rFonts w:ascii="Arial" w:eastAsia="標楷體" w:hAnsi="Arial" w:cs="Arial"/>
        </w:rPr>
        <w:t>已有穩定收入之不動產相關權利，得成為不動產投資信託基金之投資或運用標的</w:t>
      </w:r>
    </w:p>
    <w:p w:rsidR="0081485A" w:rsidRPr="00A65CD5" w:rsidRDefault="0081485A" w:rsidP="0081485A">
      <w:pPr>
        <w:numPr>
          <w:ilvl w:val="0"/>
          <w:numId w:val="4"/>
        </w:numPr>
        <w:snapToGrid w:val="0"/>
        <w:spacing w:before="60" w:after="60" w:line="300" w:lineRule="atLeast"/>
        <w:ind w:left="480"/>
        <w:rPr>
          <w:rFonts w:ascii="Arial" w:eastAsia="標楷體" w:hAnsi="Arial" w:cs="Arial"/>
        </w:rPr>
      </w:pPr>
      <w:r w:rsidRPr="00A65CD5">
        <w:rPr>
          <w:rFonts w:ascii="Arial" w:eastAsia="標楷體" w:hAnsi="Arial" w:cs="Arial"/>
        </w:rPr>
        <w:t>下列何者不屬於財政部委託專門職業及技術人員查核不動產證券化關係人辦法所稱之專門職業及技術人員？</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(A)</w:t>
      </w:r>
      <w:r w:rsidRPr="00A65CD5">
        <w:rPr>
          <w:rFonts w:ascii="Arial" w:eastAsia="標楷體" w:hAnsi="Arial" w:cs="Arial"/>
        </w:rPr>
        <w:t>會計師</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(B)</w:t>
      </w:r>
      <w:r w:rsidRPr="00A65CD5">
        <w:rPr>
          <w:rFonts w:ascii="Arial" w:eastAsia="標楷體" w:hAnsi="Arial" w:cs="Arial"/>
        </w:rPr>
        <w:t>律師</w:t>
      </w:r>
    </w:p>
    <w:p w:rsidR="0081485A" w:rsidRPr="00A65CD5"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(C)</w:t>
      </w:r>
      <w:r w:rsidRPr="00A65CD5">
        <w:rPr>
          <w:rFonts w:ascii="Arial" w:eastAsia="標楷體" w:hAnsi="Arial" w:cs="Arial"/>
        </w:rPr>
        <w:t>不動產估價師</w:t>
      </w:r>
    </w:p>
    <w:p w:rsidR="0081485A" w:rsidRPr="00D40A9C" w:rsidRDefault="0081485A" w:rsidP="0081485A">
      <w:pPr>
        <w:tabs>
          <w:tab w:val="left" w:pos="2977"/>
          <w:tab w:val="left" w:pos="5387"/>
          <w:tab w:val="left" w:pos="7797"/>
        </w:tabs>
        <w:snapToGrid w:val="0"/>
        <w:spacing w:before="20" w:after="20" w:line="300" w:lineRule="exact"/>
        <w:ind w:leftChars="199" w:left="852" w:hanging="374"/>
        <w:rPr>
          <w:rFonts w:ascii="Arial" w:eastAsia="標楷體" w:hAnsi="Arial" w:cs="Arial"/>
        </w:rPr>
      </w:pPr>
      <w:r w:rsidRPr="00A65CD5">
        <w:rPr>
          <w:rFonts w:ascii="Arial" w:eastAsia="標楷體" w:hAnsi="Arial" w:cs="Arial"/>
        </w:rPr>
        <w:t>(D)</w:t>
      </w:r>
      <w:r w:rsidRPr="00A65CD5">
        <w:rPr>
          <w:rFonts w:ascii="Arial" w:eastAsia="標楷體" w:hAnsi="Arial" w:cs="Arial"/>
        </w:rPr>
        <w:t>信託監察人</w:t>
      </w:r>
    </w:p>
    <w:sectPr w:rsidR="0081485A" w:rsidRPr="00D40A9C" w:rsidSect="002C0A62">
      <w:pgSz w:w="11907" w:h="16839" w:code="9"/>
      <w:pgMar w:top="851" w:right="851" w:bottom="851" w:left="851" w:header="851" w:footer="992" w:gutter="0"/>
      <w:cols w:space="480"/>
      <w:docGrid w:type="lines" w:linePitch="360"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4EF" w:rsidRDefault="001524EF" w:rsidP="00E8593B">
      <w:r>
        <w:separator/>
      </w:r>
    </w:p>
  </w:endnote>
  <w:endnote w:type="continuationSeparator" w:id="0">
    <w:p w:rsidR="001524EF" w:rsidRDefault="001524EF" w:rsidP="00E8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4EF" w:rsidRDefault="001524EF" w:rsidP="00E8593B">
      <w:r>
        <w:separator/>
      </w:r>
    </w:p>
  </w:footnote>
  <w:footnote w:type="continuationSeparator" w:id="0">
    <w:p w:rsidR="001524EF" w:rsidRDefault="001524EF" w:rsidP="00E85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7A2"/>
    <w:multiLevelType w:val="hybridMultilevel"/>
    <w:tmpl w:val="E27C2B00"/>
    <w:lvl w:ilvl="0" w:tplc="42285A5C">
      <w:start w:val="1"/>
      <w:numFmt w:val="upperLetter"/>
      <w:lvlText w:val="(%1)"/>
      <w:lvlJc w:val="left"/>
      <w:pPr>
        <w:ind w:left="838" w:hanging="36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
    <w:nsid w:val="1A0737E4"/>
    <w:multiLevelType w:val="hybridMultilevel"/>
    <w:tmpl w:val="8A742C84"/>
    <w:lvl w:ilvl="0" w:tplc="8F982E9C">
      <w:start w:val="1"/>
      <w:numFmt w:val="upperLetter"/>
      <w:lvlText w:val="(%1)"/>
      <w:lvlJc w:val="left"/>
      <w:pPr>
        <w:ind w:left="838" w:hanging="36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
    <w:nsid w:val="1B117F71"/>
    <w:multiLevelType w:val="hybridMultilevel"/>
    <w:tmpl w:val="BB2644EA"/>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2C783EAA"/>
    <w:multiLevelType w:val="hybridMultilevel"/>
    <w:tmpl w:val="AC247FA8"/>
    <w:lvl w:ilvl="0" w:tplc="D6E4A12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2DB2C25"/>
    <w:multiLevelType w:val="hybridMultilevel"/>
    <w:tmpl w:val="DC9CE7AC"/>
    <w:lvl w:ilvl="0" w:tplc="E0023590">
      <w:start w:val="1"/>
      <w:numFmt w:val="decimal"/>
      <w:lvlText w:val="%1."/>
      <w:lvlJc w:val="left"/>
      <w:pPr>
        <w:ind w:left="480" w:hanging="480"/>
      </w:pPr>
      <w:rPr>
        <w:rFonts w:ascii="Arial" w:hAnsi="Arial" w:cs="Arial"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B61FE8"/>
    <w:multiLevelType w:val="hybridMultilevel"/>
    <w:tmpl w:val="8E82B7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84B1B60"/>
    <w:multiLevelType w:val="hybridMultilevel"/>
    <w:tmpl w:val="F0C8F1E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539C3C45"/>
    <w:multiLevelType w:val="hybridMultilevel"/>
    <w:tmpl w:val="6FC07082"/>
    <w:lvl w:ilvl="0" w:tplc="A984A8CE">
      <w:start w:val="1"/>
      <w:numFmt w:val="upperLetter"/>
      <w:lvlText w:val="(%1)"/>
      <w:lvlJc w:val="left"/>
      <w:pPr>
        <w:ind w:left="838" w:hanging="36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8">
    <w:nsid w:val="5A1B1530"/>
    <w:multiLevelType w:val="hybridMultilevel"/>
    <w:tmpl w:val="E626BD0E"/>
    <w:lvl w:ilvl="0" w:tplc="3112FE10">
      <w:start w:val="1"/>
      <w:numFmt w:val="decimal"/>
      <w:lvlText w:val="%1."/>
      <w:lvlJc w:val="left"/>
      <w:pPr>
        <w:tabs>
          <w:tab w:val="num" w:pos="360"/>
        </w:tabs>
        <w:ind w:left="360" w:hanging="360"/>
      </w:pPr>
      <w:rPr>
        <w:rFonts w:ascii="Times New Roman" w:eastAsia="Times New Roman" w:hAnsi="Times New Roman" w:cs="Times New Roman"/>
      </w:rPr>
    </w:lvl>
    <w:lvl w:ilvl="1" w:tplc="1DDE36BA">
      <w:start w:val="1"/>
      <w:numFmt w:val="upperLetter"/>
      <w:lvlText w:val="(%2)"/>
      <w:lvlJc w:val="left"/>
      <w:pPr>
        <w:tabs>
          <w:tab w:val="num" w:pos="936"/>
        </w:tabs>
        <w:ind w:left="936" w:hanging="456"/>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A6E4461"/>
    <w:multiLevelType w:val="hybridMultilevel"/>
    <w:tmpl w:val="F0C8F1E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8"/>
  </w:num>
  <w:num w:numId="2">
    <w:abstractNumId w:val="4"/>
  </w:num>
  <w:num w:numId="3">
    <w:abstractNumId w:val="2"/>
  </w:num>
  <w:num w:numId="4">
    <w:abstractNumId w:val="9"/>
  </w:num>
  <w:num w:numId="5">
    <w:abstractNumId w:val="5"/>
  </w:num>
  <w:num w:numId="6">
    <w:abstractNumId w:val="3"/>
  </w:num>
  <w:num w:numId="7">
    <w:abstractNumId w:val="0"/>
  </w:num>
  <w:num w:numId="8">
    <w:abstractNumId w:val="7"/>
  </w:num>
  <w:num w:numId="9">
    <w:abstractNumId w:val="1"/>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9"/>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B0"/>
    <w:rsid w:val="00002B9F"/>
    <w:rsid w:val="00006511"/>
    <w:rsid w:val="00012B33"/>
    <w:rsid w:val="000547EB"/>
    <w:rsid w:val="000721F7"/>
    <w:rsid w:val="00072B7B"/>
    <w:rsid w:val="000735A7"/>
    <w:rsid w:val="00073F76"/>
    <w:rsid w:val="00075903"/>
    <w:rsid w:val="00077D41"/>
    <w:rsid w:val="000809B3"/>
    <w:rsid w:val="00084754"/>
    <w:rsid w:val="000857CB"/>
    <w:rsid w:val="000C03B6"/>
    <w:rsid w:val="000C4B85"/>
    <w:rsid w:val="000D72A1"/>
    <w:rsid w:val="00102533"/>
    <w:rsid w:val="0010558A"/>
    <w:rsid w:val="00106EE8"/>
    <w:rsid w:val="001121B0"/>
    <w:rsid w:val="00117950"/>
    <w:rsid w:val="00126DC6"/>
    <w:rsid w:val="00134A25"/>
    <w:rsid w:val="00150536"/>
    <w:rsid w:val="001524EF"/>
    <w:rsid w:val="001B254B"/>
    <w:rsid w:val="001B2F73"/>
    <w:rsid w:val="001B510A"/>
    <w:rsid w:val="001D1545"/>
    <w:rsid w:val="001F5E2E"/>
    <w:rsid w:val="0020006F"/>
    <w:rsid w:val="002022E5"/>
    <w:rsid w:val="00207A08"/>
    <w:rsid w:val="002145D9"/>
    <w:rsid w:val="00227349"/>
    <w:rsid w:val="00255939"/>
    <w:rsid w:val="00265A27"/>
    <w:rsid w:val="002A27F0"/>
    <w:rsid w:val="002C0A62"/>
    <w:rsid w:val="002D2E98"/>
    <w:rsid w:val="00312B8E"/>
    <w:rsid w:val="0031391A"/>
    <w:rsid w:val="0032224F"/>
    <w:rsid w:val="00352D5B"/>
    <w:rsid w:val="003575B2"/>
    <w:rsid w:val="003638A4"/>
    <w:rsid w:val="00366EB1"/>
    <w:rsid w:val="003716A6"/>
    <w:rsid w:val="003744B0"/>
    <w:rsid w:val="003D03A8"/>
    <w:rsid w:val="003D225C"/>
    <w:rsid w:val="003D34CD"/>
    <w:rsid w:val="003E531C"/>
    <w:rsid w:val="004025E3"/>
    <w:rsid w:val="00423EAC"/>
    <w:rsid w:val="00430CF8"/>
    <w:rsid w:val="004408C2"/>
    <w:rsid w:val="00440985"/>
    <w:rsid w:val="00453B90"/>
    <w:rsid w:val="004A5655"/>
    <w:rsid w:val="004B6EE6"/>
    <w:rsid w:val="004C5A52"/>
    <w:rsid w:val="004D48AA"/>
    <w:rsid w:val="005329A6"/>
    <w:rsid w:val="00532DC2"/>
    <w:rsid w:val="005413B1"/>
    <w:rsid w:val="00550D86"/>
    <w:rsid w:val="00570689"/>
    <w:rsid w:val="00571D73"/>
    <w:rsid w:val="005A660D"/>
    <w:rsid w:val="005B2597"/>
    <w:rsid w:val="005D18DB"/>
    <w:rsid w:val="005F3478"/>
    <w:rsid w:val="005F3D5A"/>
    <w:rsid w:val="0060656C"/>
    <w:rsid w:val="00617F37"/>
    <w:rsid w:val="00624A0B"/>
    <w:rsid w:val="006266D8"/>
    <w:rsid w:val="006453C8"/>
    <w:rsid w:val="006579B6"/>
    <w:rsid w:val="00662640"/>
    <w:rsid w:val="00662730"/>
    <w:rsid w:val="00684D62"/>
    <w:rsid w:val="00686365"/>
    <w:rsid w:val="006A5FC1"/>
    <w:rsid w:val="006D2FF5"/>
    <w:rsid w:val="006E11A2"/>
    <w:rsid w:val="006E1901"/>
    <w:rsid w:val="006F5B5E"/>
    <w:rsid w:val="006F7603"/>
    <w:rsid w:val="006F7F38"/>
    <w:rsid w:val="00703050"/>
    <w:rsid w:val="0073675F"/>
    <w:rsid w:val="00747DB8"/>
    <w:rsid w:val="00756A4E"/>
    <w:rsid w:val="007606BA"/>
    <w:rsid w:val="007628F2"/>
    <w:rsid w:val="007653FA"/>
    <w:rsid w:val="007730E3"/>
    <w:rsid w:val="00775098"/>
    <w:rsid w:val="00783C8B"/>
    <w:rsid w:val="00790F83"/>
    <w:rsid w:val="007925DF"/>
    <w:rsid w:val="0079261F"/>
    <w:rsid w:val="007928FD"/>
    <w:rsid w:val="007957CA"/>
    <w:rsid w:val="007A56DF"/>
    <w:rsid w:val="007B2B5D"/>
    <w:rsid w:val="007B53F2"/>
    <w:rsid w:val="007B542E"/>
    <w:rsid w:val="007E6D70"/>
    <w:rsid w:val="007F011A"/>
    <w:rsid w:val="007F4808"/>
    <w:rsid w:val="007F4962"/>
    <w:rsid w:val="00801923"/>
    <w:rsid w:val="00807416"/>
    <w:rsid w:val="0081485A"/>
    <w:rsid w:val="00821D0E"/>
    <w:rsid w:val="00827CB0"/>
    <w:rsid w:val="00830D6D"/>
    <w:rsid w:val="00830DC3"/>
    <w:rsid w:val="00842FF7"/>
    <w:rsid w:val="0085132D"/>
    <w:rsid w:val="00864B7F"/>
    <w:rsid w:val="0088035D"/>
    <w:rsid w:val="008873FA"/>
    <w:rsid w:val="0089489B"/>
    <w:rsid w:val="00896DD6"/>
    <w:rsid w:val="00897B54"/>
    <w:rsid w:val="008B2962"/>
    <w:rsid w:val="008C27A2"/>
    <w:rsid w:val="008D0072"/>
    <w:rsid w:val="008D024C"/>
    <w:rsid w:val="008D1AFB"/>
    <w:rsid w:val="008E5E34"/>
    <w:rsid w:val="00901D9A"/>
    <w:rsid w:val="00924F97"/>
    <w:rsid w:val="00952872"/>
    <w:rsid w:val="00961B79"/>
    <w:rsid w:val="0098137A"/>
    <w:rsid w:val="009859E8"/>
    <w:rsid w:val="009A6834"/>
    <w:rsid w:val="009B156D"/>
    <w:rsid w:val="009B25EF"/>
    <w:rsid w:val="009B64BA"/>
    <w:rsid w:val="009C4929"/>
    <w:rsid w:val="009E744A"/>
    <w:rsid w:val="00A0243F"/>
    <w:rsid w:val="00A05EF8"/>
    <w:rsid w:val="00A1727D"/>
    <w:rsid w:val="00A30E64"/>
    <w:rsid w:val="00A4006A"/>
    <w:rsid w:val="00A47F42"/>
    <w:rsid w:val="00A5195F"/>
    <w:rsid w:val="00A63B09"/>
    <w:rsid w:val="00A65CD5"/>
    <w:rsid w:val="00A82CD4"/>
    <w:rsid w:val="00AB272C"/>
    <w:rsid w:val="00AB48A6"/>
    <w:rsid w:val="00AD7926"/>
    <w:rsid w:val="00AE015E"/>
    <w:rsid w:val="00AF3A68"/>
    <w:rsid w:val="00AF535B"/>
    <w:rsid w:val="00B24777"/>
    <w:rsid w:val="00B349F9"/>
    <w:rsid w:val="00B42E3E"/>
    <w:rsid w:val="00B64BC6"/>
    <w:rsid w:val="00B679D0"/>
    <w:rsid w:val="00B7209F"/>
    <w:rsid w:val="00B77EFC"/>
    <w:rsid w:val="00B80876"/>
    <w:rsid w:val="00B872EF"/>
    <w:rsid w:val="00B931DB"/>
    <w:rsid w:val="00BA3877"/>
    <w:rsid w:val="00BD56F5"/>
    <w:rsid w:val="00BD6634"/>
    <w:rsid w:val="00BF3379"/>
    <w:rsid w:val="00C011D5"/>
    <w:rsid w:val="00C04582"/>
    <w:rsid w:val="00C05779"/>
    <w:rsid w:val="00C149C7"/>
    <w:rsid w:val="00C24BA9"/>
    <w:rsid w:val="00C3051D"/>
    <w:rsid w:val="00C362BF"/>
    <w:rsid w:val="00C6155E"/>
    <w:rsid w:val="00C77885"/>
    <w:rsid w:val="00C8538F"/>
    <w:rsid w:val="00C86CBF"/>
    <w:rsid w:val="00C903AD"/>
    <w:rsid w:val="00C96296"/>
    <w:rsid w:val="00CA0871"/>
    <w:rsid w:val="00CA7141"/>
    <w:rsid w:val="00CD4551"/>
    <w:rsid w:val="00CE14EB"/>
    <w:rsid w:val="00CE342F"/>
    <w:rsid w:val="00CF0CE3"/>
    <w:rsid w:val="00D142BA"/>
    <w:rsid w:val="00D237F2"/>
    <w:rsid w:val="00D32414"/>
    <w:rsid w:val="00D40A9C"/>
    <w:rsid w:val="00D5597F"/>
    <w:rsid w:val="00D916B6"/>
    <w:rsid w:val="00DB0D89"/>
    <w:rsid w:val="00DB47CA"/>
    <w:rsid w:val="00DB5ECC"/>
    <w:rsid w:val="00DC551F"/>
    <w:rsid w:val="00DC77FB"/>
    <w:rsid w:val="00E02BE7"/>
    <w:rsid w:val="00E07642"/>
    <w:rsid w:val="00E15946"/>
    <w:rsid w:val="00E31593"/>
    <w:rsid w:val="00E47C7F"/>
    <w:rsid w:val="00E50721"/>
    <w:rsid w:val="00E758FF"/>
    <w:rsid w:val="00E82CEC"/>
    <w:rsid w:val="00E84112"/>
    <w:rsid w:val="00E8593B"/>
    <w:rsid w:val="00E96658"/>
    <w:rsid w:val="00EA0878"/>
    <w:rsid w:val="00EB0D6E"/>
    <w:rsid w:val="00EB1649"/>
    <w:rsid w:val="00EC1142"/>
    <w:rsid w:val="00EC17DF"/>
    <w:rsid w:val="00EC2C0B"/>
    <w:rsid w:val="00ED758C"/>
    <w:rsid w:val="00F06011"/>
    <w:rsid w:val="00F22445"/>
    <w:rsid w:val="00F30DDC"/>
    <w:rsid w:val="00F31F7C"/>
    <w:rsid w:val="00F56BC3"/>
    <w:rsid w:val="00F64461"/>
    <w:rsid w:val="00F7396D"/>
    <w:rsid w:val="00FC5649"/>
    <w:rsid w:val="00FC78A9"/>
    <w:rsid w:val="00FD18E1"/>
    <w:rsid w:val="00FD3C24"/>
    <w:rsid w:val="00FD6421"/>
    <w:rsid w:val="00FD7AF8"/>
    <w:rsid w:val="00FE4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1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 w:type="paragraph" w:styleId="a9">
    <w:name w:val="List Paragraph"/>
    <w:basedOn w:val="a"/>
    <w:uiPriority w:val="34"/>
    <w:qFormat/>
    <w:rsid w:val="007957CA"/>
    <w:pPr>
      <w:ind w:leftChars="200" w:left="480"/>
    </w:pPr>
  </w:style>
  <w:style w:type="paragraph" w:styleId="aa">
    <w:name w:val="Balloon Text"/>
    <w:basedOn w:val="a"/>
    <w:link w:val="ab"/>
    <w:rsid w:val="00A65CD5"/>
    <w:rPr>
      <w:rFonts w:asciiTheme="majorHAnsi" w:eastAsiaTheme="majorEastAsia" w:hAnsiTheme="majorHAnsi" w:cstheme="majorBidi"/>
      <w:sz w:val="18"/>
      <w:szCs w:val="18"/>
    </w:rPr>
  </w:style>
  <w:style w:type="character" w:customStyle="1" w:styleId="ab">
    <w:name w:val="註解方塊文字 字元"/>
    <w:basedOn w:val="a0"/>
    <w:link w:val="aa"/>
    <w:rsid w:val="00A65CD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1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 w:type="paragraph" w:styleId="a9">
    <w:name w:val="List Paragraph"/>
    <w:basedOn w:val="a"/>
    <w:uiPriority w:val="34"/>
    <w:qFormat/>
    <w:rsid w:val="007957CA"/>
    <w:pPr>
      <w:ind w:leftChars="200" w:left="480"/>
    </w:pPr>
  </w:style>
  <w:style w:type="paragraph" w:styleId="aa">
    <w:name w:val="Balloon Text"/>
    <w:basedOn w:val="a"/>
    <w:link w:val="ab"/>
    <w:rsid w:val="00A65CD5"/>
    <w:rPr>
      <w:rFonts w:asciiTheme="majorHAnsi" w:eastAsiaTheme="majorEastAsia" w:hAnsiTheme="majorHAnsi" w:cstheme="majorBidi"/>
      <w:sz w:val="18"/>
      <w:szCs w:val="18"/>
    </w:rPr>
  </w:style>
  <w:style w:type="character" w:customStyle="1" w:styleId="ab">
    <w:name w:val="註解方塊文字 字元"/>
    <w:basedOn w:val="a0"/>
    <w:link w:val="aa"/>
    <w:rsid w:val="00A65CD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DBB58-4A50-4E64-8D1A-987AA36C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8197</Words>
  <Characters>1963</Characters>
  <Application>Microsoft Office Word</Application>
  <DocSecurity>0</DocSecurity>
  <Lines>16</Lines>
  <Paragraphs>20</Paragraphs>
  <ScaleCrop>false</ScaleCrop>
  <Company>Microsoft</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    別: 普業</dc:title>
  <dc:creator>MOEX</dc:creator>
  <cp:lastModifiedBy>廖力瑢</cp:lastModifiedBy>
  <cp:revision>2</cp:revision>
  <cp:lastPrinted>2020-06-03T08:33:00Z</cp:lastPrinted>
  <dcterms:created xsi:type="dcterms:W3CDTF">2020-06-08T04:21:00Z</dcterms:created>
  <dcterms:modified xsi:type="dcterms:W3CDTF">2020-06-08T04:21:00Z</dcterms:modified>
</cp:coreProperties>
</file>