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8C" w:rsidRPr="00B42E3E" w:rsidRDefault="002D3D8C" w:rsidP="002D3D8C">
      <w:pPr>
        <w:snapToGrid w:val="0"/>
        <w:spacing w:after="24" w:line="360" w:lineRule="atLeast"/>
        <w:rPr>
          <w:rFonts w:ascii="Arial" w:eastAsia="標楷體" w:hAnsi="Arial" w:cs="Arial"/>
          <w:b/>
          <w:sz w:val="32"/>
          <w:szCs w:val="32"/>
        </w:rPr>
      </w:pPr>
      <w:bookmarkStart w:id="0" w:name="_GoBack"/>
      <w:bookmarkEnd w:id="0"/>
      <w:r w:rsidRPr="00B42E3E">
        <w:rPr>
          <w:rFonts w:ascii="Arial" w:eastAsia="標楷體" w:hAnsi="Arial" w:cs="Arial"/>
          <w:b/>
          <w:sz w:val="32"/>
          <w:szCs w:val="32"/>
        </w:rPr>
        <w:t>10</w:t>
      </w:r>
      <w:r>
        <w:rPr>
          <w:rFonts w:ascii="Arial" w:eastAsia="標楷體" w:hAnsi="Arial" w:cs="Arial" w:hint="eastAsia"/>
          <w:b/>
          <w:sz w:val="32"/>
          <w:szCs w:val="32"/>
        </w:rPr>
        <w:t>9</w:t>
      </w:r>
      <w:r w:rsidRPr="00B42E3E">
        <w:rPr>
          <w:rFonts w:ascii="Arial" w:eastAsia="標楷體" w:hAnsi="Arial" w:cs="Arial" w:hint="eastAsia"/>
          <w:b/>
          <w:sz w:val="32"/>
          <w:szCs w:val="32"/>
        </w:rPr>
        <w:t>年</w:t>
      </w:r>
      <w:r w:rsidRPr="00B42E3E">
        <w:rPr>
          <w:rFonts w:ascii="Arial" w:eastAsia="標楷體" w:hAnsi="Arial" w:cs="Arial"/>
          <w:b/>
          <w:sz w:val="32"/>
          <w:szCs w:val="32"/>
        </w:rPr>
        <w:t>第</w:t>
      </w:r>
      <w:r>
        <w:rPr>
          <w:rFonts w:ascii="Arial" w:eastAsia="標楷體" w:hAnsi="Arial" w:cs="Arial" w:hint="eastAsia"/>
          <w:b/>
          <w:sz w:val="32"/>
          <w:szCs w:val="32"/>
        </w:rPr>
        <w:t>4</w:t>
      </w:r>
      <w:r w:rsidRPr="00B42E3E">
        <w:rPr>
          <w:rFonts w:ascii="Arial" w:eastAsia="標楷體" w:hAnsi="Arial" w:cs="Arial"/>
          <w:b/>
          <w:sz w:val="32"/>
          <w:szCs w:val="32"/>
        </w:rPr>
        <w:t>次</w:t>
      </w:r>
      <w:r w:rsidRPr="00C95BA7">
        <w:rPr>
          <w:rFonts w:ascii="Arial" w:eastAsia="標楷體" w:hAnsi="Arial" w:cs="Arial" w:hint="eastAsia"/>
          <w:b/>
          <w:sz w:val="32"/>
          <w:szCs w:val="32"/>
        </w:rPr>
        <w:t>證券交易相關法規與</w:t>
      </w:r>
      <w:proofErr w:type="gramStart"/>
      <w:r w:rsidRPr="00C95BA7">
        <w:rPr>
          <w:rFonts w:ascii="Arial" w:eastAsia="標楷體" w:hAnsi="Arial" w:cs="Arial" w:hint="eastAsia"/>
          <w:b/>
          <w:sz w:val="32"/>
          <w:szCs w:val="32"/>
        </w:rPr>
        <w:t>實務乙科</w:t>
      </w:r>
      <w:r w:rsidRPr="00B42E3E">
        <w:rPr>
          <w:rFonts w:ascii="Arial" w:eastAsia="標楷體" w:hAnsi="Arial" w:cs="Arial"/>
          <w:b/>
          <w:sz w:val="32"/>
          <w:szCs w:val="32"/>
        </w:rPr>
        <w:t>測驗</w:t>
      </w:r>
      <w:proofErr w:type="gramEnd"/>
      <w:r w:rsidRPr="00B42E3E">
        <w:rPr>
          <w:rFonts w:ascii="Arial" w:eastAsia="標楷體" w:hAnsi="Arial" w:cs="Arial"/>
          <w:b/>
          <w:sz w:val="32"/>
          <w:szCs w:val="32"/>
        </w:rPr>
        <w:t>試題</w:t>
      </w:r>
    </w:p>
    <w:p w:rsidR="00790F83" w:rsidRPr="00383859" w:rsidRDefault="00790F83" w:rsidP="00A0243F">
      <w:pPr>
        <w:tabs>
          <w:tab w:val="left" w:pos="5640"/>
        </w:tabs>
        <w:snapToGrid w:val="0"/>
        <w:spacing w:after="24"/>
        <w:rPr>
          <w:rFonts w:ascii="Arial" w:eastAsia="標楷體" w:hAnsi="Arial" w:cs="Arial"/>
          <w:b/>
          <w:sz w:val="28"/>
        </w:rPr>
      </w:pPr>
      <w:r w:rsidRPr="00383859">
        <w:rPr>
          <w:rFonts w:ascii="Arial" w:eastAsia="標楷體" w:hAnsi="Arial" w:cs="Arial"/>
          <w:b/>
          <w:sz w:val="28"/>
        </w:rPr>
        <w:t>專業科目：</w:t>
      </w:r>
      <w:r w:rsidR="00F7396D" w:rsidRPr="00383859">
        <w:rPr>
          <w:rFonts w:ascii="Arial" w:eastAsia="標楷體" w:hAnsi="Arial" w:cs="Arial"/>
          <w:b/>
          <w:sz w:val="28"/>
        </w:rPr>
        <w:t>證券交易相關法規與實務</w:t>
      </w:r>
      <w:r w:rsidRPr="00383859">
        <w:rPr>
          <w:rFonts w:ascii="Arial" w:eastAsia="標楷體" w:hAnsi="Arial" w:cs="Arial"/>
          <w:b/>
          <w:sz w:val="28"/>
        </w:rPr>
        <w:tab/>
      </w:r>
      <w:r w:rsidRPr="00383859">
        <w:rPr>
          <w:rFonts w:ascii="Arial" w:eastAsia="標楷體" w:hAnsi="Arial" w:cs="Arial"/>
          <w:b/>
          <w:sz w:val="28"/>
        </w:rPr>
        <w:tab/>
      </w:r>
      <w:r w:rsidR="00E07642" w:rsidRPr="00383859">
        <w:rPr>
          <w:rFonts w:ascii="Arial" w:eastAsia="標楷體" w:hAnsi="Arial" w:cs="Arial"/>
          <w:b/>
          <w:sz w:val="28"/>
        </w:rPr>
        <w:tab/>
      </w:r>
      <w:r w:rsidRPr="00383859">
        <w:rPr>
          <w:rFonts w:ascii="Arial" w:eastAsia="標楷體" w:hAnsi="Arial" w:cs="Arial"/>
          <w:b/>
          <w:sz w:val="28"/>
        </w:rPr>
        <w:t>請填</w:t>
      </w:r>
      <w:r w:rsidR="00C05779" w:rsidRPr="00383859">
        <w:rPr>
          <w:rFonts w:ascii="Arial" w:eastAsia="標楷體" w:hAnsi="Arial" w:cs="Arial"/>
          <w:b/>
          <w:sz w:val="28"/>
        </w:rPr>
        <w:t>應試號碼</w:t>
      </w:r>
      <w:r w:rsidRPr="00383859">
        <w:rPr>
          <w:rFonts w:ascii="Arial" w:eastAsia="標楷體" w:hAnsi="Arial" w:cs="Arial"/>
          <w:b/>
          <w:sz w:val="28"/>
        </w:rPr>
        <w:t>：</w:t>
      </w:r>
      <w:r w:rsidRPr="00383859">
        <w:rPr>
          <w:rFonts w:ascii="Arial" w:eastAsia="標楷體" w:hAnsi="Arial" w:cs="Arial"/>
          <w:b/>
          <w:sz w:val="28"/>
          <w:u w:val="single"/>
        </w:rPr>
        <w:t xml:space="preserve">         </w:t>
      </w:r>
      <w:r w:rsidR="00E07642" w:rsidRPr="00383859">
        <w:rPr>
          <w:rFonts w:ascii="Arial" w:eastAsia="標楷體" w:hAnsi="Arial" w:cs="Arial"/>
          <w:b/>
          <w:sz w:val="28"/>
          <w:u w:val="single"/>
        </w:rPr>
        <w:t xml:space="preserve">    </w:t>
      </w:r>
      <w:r w:rsidRPr="00383859">
        <w:rPr>
          <w:rFonts w:ascii="Arial" w:eastAsia="標楷體" w:hAnsi="Arial" w:cs="Arial"/>
          <w:b/>
          <w:sz w:val="28"/>
          <w:u w:val="single"/>
        </w:rPr>
        <w:t xml:space="preserve">  </w:t>
      </w:r>
    </w:p>
    <w:p w:rsidR="00E758FF" w:rsidRPr="00383859" w:rsidRDefault="00790F83" w:rsidP="00383859">
      <w:pPr>
        <w:ind w:left="952" w:hangingChars="403" w:hanging="952"/>
        <w:rPr>
          <w:rFonts w:ascii="Arial" w:eastAsia="標楷體" w:hAnsi="Arial" w:cs="Arial"/>
          <w:b/>
          <w:spacing w:val="-2"/>
        </w:rPr>
      </w:pPr>
      <w:r w:rsidRPr="00383859">
        <w:rPr>
          <w:rFonts w:ascii="細明體" w:eastAsia="細明體" w:hAnsi="細明體" w:cs="細明體" w:hint="eastAsia"/>
          <w:b/>
          <w:spacing w:val="-2"/>
        </w:rPr>
        <w:t>※</w:t>
      </w:r>
      <w:r w:rsidRPr="00383859">
        <w:rPr>
          <w:rFonts w:ascii="Arial" w:eastAsia="標楷體" w:hAnsi="Arial" w:cs="Arial"/>
          <w:b/>
          <w:spacing w:val="-2"/>
        </w:rPr>
        <w:t>注意：考生請在「答案卡」上作答，共</w:t>
      </w:r>
      <w:r w:rsidRPr="00383859">
        <w:rPr>
          <w:rFonts w:ascii="Arial" w:eastAsia="標楷體" w:hAnsi="Arial" w:cs="Arial"/>
          <w:b/>
          <w:spacing w:val="-2"/>
        </w:rPr>
        <w:t>50</w:t>
      </w:r>
      <w:r w:rsidRPr="00383859">
        <w:rPr>
          <w:rFonts w:ascii="Arial" w:eastAsia="標楷體" w:hAnsi="Arial" w:cs="Arial"/>
          <w:b/>
          <w:spacing w:val="-2"/>
        </w:rPr>
        <w:t>題，每題</w:t>
      </w:r>
      <w:r w:rsidRPr="00383859">
        <w:rPr>
          <w:rFonts w:ascii="Arial" w:eastAsia="標楷體" w:hAnsi="Arial" w:cs="Arial"/>
          <w:b/>
          <w:spacing w:val="-2"/>
        </w:rPr>
        <w:t>2</w:t>
      </w:r>
      <w:r w:rsidRPr="00383859">
        <w:rPr>
          <w:rFonts w:ascii="Arial" w:eastAsia="標楷體" w:hAnsi="Arial" w:cs="Arial"/>
          <w:b/>
          <w:spacing w:val="-2"/>
        </w:rPr>
        <w:t>分，每一試題有</w:t>
      </w:r>
      <w:r w:rsidRPr="00383859">
        <w:rPr>
          <w:rFonts w:ascii="Arial" w:eastAsia="標楷體" w:hAnsi="Arial" w:cs="Arial"/>
          <w:b/>
          <w:spacing w:val="-2"/>
        </w:rPr>
        <w:t>(A)(B)(C)(D)</w:t>
      </w:r>
      <w:r w:rsidRPr="00383859">
        <w:rPr>
          <w:rFonts w:ascii="Arial" w:eastAsia="標楷體" w:hAnsi="Arial" w:cs="Arial"/>
          <w:b/>
          <w:spacing w:val="-2"/>
        </w:rPr>
        <w:t>選項，本測驗為單一選擇題，請依題意選出一個正確或最適當的答案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hint="eastAsia"/>
        </w:rPr>
        <w:t>依「證券交易法」第</w:t>
      </w:r>
      <w:r w:rsidRPr="004C0A42">
        <w:rPr>
          <w:rFonts w:ascii="Arial" w:eastAsia="標楷體" w:hAnsi="Arial" w:cs="Arial" w:hint="eastAsia"/>
        </w:rPr>
        <w:t>6</w:t>
      </w:r>
      <w:r w:rsidRPr="004C0A42">
        <w:rPr>
          <w:rFonts w:ascii="Arial" w:eastAsia="標楷體" w:hAnsi="Arial" w:cs="Arial" w:hint="eastAsia"/>
        </w:rPr>
        <w:t>條規定，下列何者視為有價證券？</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hint="eastAsia"/>
        </w:rPr>
        <w:t>(A)</w:t>
      </w:r>
      <w:r w:rsidRPr="00D3492D">
        <w:rPr>
          <w:rFonts w:ascii="Arial" w:eastAsia="標楷體" w:hAnsi="Arial" w:cs="Arial" w:hint="eastAsia"/>
        </w:rPr>
        <w:t>利率交換契約</w:t>
      </w:r>
      <w:r w:rsidRPr="00D3492D">
        <w:rPr>
          <w:rFonts w:ascii="Arial" w:eastAsia="標楷體" w:hAnsi="Arial" w:cs="Arial" w:hint="eastAsia"/>
        </w:rPr>
        <w:tab/>
        <w:t>(B)</w:t>
      </w:r>
      <w:r w:rsidRPr="00D3492D">
        <w:rPr>
          <w:rFonts w:ascii="Arial" w:eastAsia="標楷體" w:hAnsi="Arial" w:cs="Arial" w:hint="eastAsia"/>
        </w:rPr>
        <w:t>匯票</w:t>
      </w:r>
      <w:r w:rsidRPr="00D3492D">
        <w:rPr>
          <w:rFonts w:ascii="Arial" w:eastAsia="標楷體" w:hAnsi="Arial" w:cs="Arial" w:hint="eastAsia"/>
        </w:rPr>
        <w:tab/>
        <w:t>(C)</w:t>
      </w:r>
      <w:r w:rsidRPr="00D3492D">
        <w:rPr>
          <w:rFonts w:ascii="Arial" w:eastAsia="標楷體" w:hAnsi="Arial" w:cs="Arial" w:hint="eastAsia"/>
        </w:rPr>
        <w:t>支票</w:t>
      </w:r>
      <w:r w:rsidRPr="00D3492D">
        <w:rPr>
          <w:rFonts w:ascii="Arial" w:eastAsia="標楷體" w:hAnsi="Arial" w:cs="Arial" w:hint="eastAsia"/>
        </w:rPr>
        <w:tab/>
        <w:t>(D)</w:t>
      </w:r>
      <w:r w:rsidRPr="00D3492D">
        <w:rPr>
          <w:rFonts w:ascii="Arial" w:eastAsia="標楷體" w:hAnsi="Arial" w:cs="Arial" w:hint="eastAsia"/>
        </w:rPr>
        <w:t>新股權利證書</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依公司法規定，持有已發行股份總數</w:t>
      </w:r>
      <w:r w:rsidRPr="004C0A42">
        <w:rPr>
          <w:rFonts w:ascii="Arial" w:eastAsia="標楷體" w:hAnsi="Arial" w:cs="Arial" w:hint="eastAsia"/>
        </w:rPr>
        <w:t>超過</w:t>
      </w:r>
      <w:r w:rsidRPr="004C0A42">
        <w:rPr>
          <w:rFonts w:ascii="Arial" w:eastAsia="標楷體" w:hAnsi="Arial" w:cs="Arial"/>
        </w:rPr>
        <w:t>百分之</w:t>
      </w:r>
      <w:r w:rsidRPr="004C0A42">
        <w:rPr>
          <w:rFonts w:ascii="Arial" w:eastAsia="標楷體" w:hAnsi="Arial" w:cs="Arial"/>
        </w:rPr>
        <w:t>__</w:t>
      </w:r>
      <w:r w:rsidRPr="004C0A42">
        <w:rPr>
          <w:rFonts w:ascii="Arial" w:eastAsia="標楷體" w:hAnsi="Arial" w:cs="Arial"/>
        </w:rPr>
        <w:t>之股東，須申報至中央主管機關建置或指定之資訊平</w:t>
      </w:r>
      <w:proofErr w:type="gramStart"/>
      <w:r w:rsidRPr="004C0A42">
        <w:rPr>
          <w:rFonts w:ascii="Arial" w:eastAsia="標楷體" w:hAnsi="Arial" w:cs="Arial"/>
        </w:rPr>
        <w:t>臺</w:t>
      </w:r>
      <w:proofErr w:type="gramEnd"/>
      <w:r w:rsidRPr="004C0A42">
        <w:rPr>
          <w:rFonts w:ascii="Arial" w:eastAsia="標楷體" w:hAnsi="Arial" w:cs="Arial"/>
        </w:rPr>
        <w:t>；其有變動，應於變動後</w:t>
      </w:r>
      <w:r w:rsidRPr="004C0A42">
        <w:rPr>
          <w:rFonts w:ascii="Arial" w:eastAsia="標楷體" w:hAnsi="Arial" w:cs="Arial"/>
        </w:rPr>
        <w:t>__</w:t>
      </w:r>
      <w:r w:rsidRPr="004C0A42">
        <w:rPr>
          <w:rFonts w:ascii="Arial" w:eastAsia="標楷體" w:hAnsi="Arial" w:cs="Arial"/>
        </w:rPr>
        <w:t>日內為之</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十，十五</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十，十</w:t>
      </w:r>
      <w:r w:rsid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十五，十五</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十五，十</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下列關於公司負責人之敘述，何者錯誤</w:t>
      </w:r>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公司之非董事，而實質上執行董事業務，與公司法</w:t>
      </w:r>
      <w:proofErr w:type="gramStart"/>
      <w:r w:rsidRPr="00D3492D">
        <w:rPr>
          <w:rFonts w:ascii="Arial" w:eastAsia="標楷體" w:hAnsi="Arial" w:cs="Arial"/>
        </w:rPr>
        <w:t>董事同負民事</w:t>
      </w:r>
      <w:proofErr w:type="gramEnd"/>
      <w:r w:rsidRPr="00D3492D">
        <w:rPr>
          <w:rFonts w:ascii="Arial" w:eastAsia="標楷體" w:hAnsi="Arial" w:cs="Arial"/>
        </w:rPr>
        <w:t>、刑事及行政罰之責任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在執行職務範圍內，公司之清算人為公司負責人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有限公司、股份有限公司之負責人為董事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重整監督人在執行職務範圍時，不屬於公司負責人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已依證交法發行之公司得於一定條件下對特定人招募有價證券，稱之為何種行為？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私募</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公開募集</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發行</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掛牌</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「證券交易法」所謂之公開說明書，其應記載事項由何單位訂定之？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證券商業同業公會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金融監督管理委員會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臺灣證券交易所</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證券承銷商</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公開發行公司內部稽核單位作成之稽核報告、工作底稿及相關資料應至少保存幾年？</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三年</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四年</w:t>
      </w:r>
      <w:r w:rsidR="007702A3">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五年</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七年</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上市公司持股超過百分之十之大股東，得於申報之日起幾日後，依主管機關所定持有期間及每一交易日得轉讓數量比例在集中市場轉讓持股？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二日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四日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五日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證券商從事具有股權性質之投資，其轉投資總金額不得超過證券商淨值百分之多少？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二十</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四十</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五十</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七十</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為促進我國普惠金融與金融科技發展，下列何者可依金融科技發展與創新實驗條例申請辦理證券業務創新實驗？</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證券商</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證券金融事業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科技業</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以上皆可進行申請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依「證券交易法」發行之有價證券，其發行人如欲申請上市，應向何者申請？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金融監督管理委員會</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臺灣證券交易所</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證券櫃檯買賣中心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證券商業同業公會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證券投資人及期貨交易人保護基金對每家證券商每一證券投資人一次之償付金額，以新臺幣多少為上限？</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proofErr w:type="gramStart"/>
      <w:r w:rsidRPr="00D3492D">
        <w:rPr>
          <w:rFonts w:ascii="Arial" w:eastAsia="標楷體" w:hAnsi="Arial" w:cs="Arial"/>
        </w:rPr>
        <w:t>一</w:t>
      </w:r>
      <w:proofErr w:type="gramEnd"/>
      <w:r w:rsidRPr="00D3492D">
        <w:rPr>
          <w:rFonts w:ascii="Arial" w:eastAsia="標楷體" w:hAnsi="Arial" w:cs="Arial"/>
        </w:rPr>
        <w:t>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三百萬元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一千萬元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依其實際損失而定</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公司買回股份應自申報日起多久執行完畢？</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一個月</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二個月</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三個月</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四個月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依「公司法」規定，董事任期不得超過幾年，但連選得連任？</w:t>
      </w:r>
    </w:p>
    <w:p w:rsidR="004C0A42" w:rsidRPr="00D7662C"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w:t>
      </w:r>
      <w:r w:rsidRPr="00D3492D">
        <w:rPr>
          <w:rFonts w:ascii="Arial" w:eastAsia="標楷體" w:hAnsi="Arial" w:cs="Arial" w:hint="eastAsia"/>
        </w:rPr>
        <w:t>A</w:t>
      </w:r>
      <w:r w:rsidRPr="00D3492D">
        <w:rPr>
          <w:rFonts w:ascii="Arial" w:eastAsia="標楷體" w:hAnsi="Arial" w:cs="Arial"/>
        </w:rPr>
        <w:t>)</w:t>
      </w:r>
      <w:r w:rsidRPr="00D3492D">
        <w:rPr>
          <w:rFonts w:ascii="Arial" w:eastAsia="標楷體" w:hAnsi="Arial" w:cs="Arial"/>
        </w:rPr>
        <w:t>一年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B</w:t>
      </w:r>
      <w:r w:rsidRPr="00D3492D">
        <w:rPr>
          <w:rFonts w:ascii="Arial" w:eastAsia="標楷體" w:hAnsi="Arial" w:cs="Arial"/>
        </w:rPr>
        <w:t>)</w:t>
      </w:r>
      <w:r w:rsidRPr="00D3492D">
        <w:rPr>
          <w:rFonts w:ascii="Arial" w:eastAsia="標楷體" w:hAnsi="Arial" w:cs="Arial"/>
        </w:rPr>
        <w:t>二年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C</w:t>
      </w:r>
      <w:r w:rsidRPr="00D3492D">
        <w:rPr>
          <w:rFonts w:ascii="Arial" w:eastAsia="標楷體" w:hAnsi="Arial" w:cs="Arial"/>
        </w:rPr>
        <w:t>)</w:t>
      </w:r>
      <w:r w:rsidRPr="00D3492D">
        <w:rPr>
          <w:rFonts w:ascii="Arial" w:eastAsia="標楷體" w:hAnsi="Arial" w:cs="Arial"/>
        </w:rPr>
        <w:t>三年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D</w:t>
      </w:r>
      <w:r w:rsidRPr="00D3492D">
        <w:rPr>
          <w:rFonts w:ascii="Arial" w:eastAsia="標楷體" w:hAnsi="Arial" w:cs="Arial"/>
        </w:rPr>
        <w:t>)</w:t>
      </w:r>
      <w:r w:rsidRPr="00D3492D">
        <w:rPr>
          <w:rFonts w:ascii="Arial" w:eastAsia="標楷體" w:hAnsi="Arial" w:cs="Arial"/>
        </w:rPr>
        <w:t>四年</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股東會決議對董事提起訴訟，公司應自決議之日起多久時間內提起？</w:t>
      </w:r>
      <w:r w:rsidR="000357A5" w:rsidRPr="004C0A42">
        <w:rPr>
          <w:rFonts w:ascii="Arial" w:eastAsia="標楷體" w:hAnsi="Arial" w:cs="Arial"/>
        </w:rPr>
        <w:t xml:space="preserve"> </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三十日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六十日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九十日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六個月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已設置審計委員會之公開發行公司，依法應經審計委員會決議之特定事項，應得全體委員多少比例之同意？</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四分之三</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三分之二</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二分之一</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全體成員</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依現行「證券交易法」之規定，公司設置審計委員會者，其成員為何？</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獨立董事三人與常務董事二人</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獨立董事一人與常務董事二人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獨立董事二人與常務董事一人</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由全體獨立董事組成</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發行人交付之公開說明書因內容虛偽、隱匿而致生損害善意相對人者，其民事制度</w:t>
      </w:r>
      <w:proofErr w:type="gramStart"/>
      <w:r w:rsidRPr="004C0A42">
        <w:rPr>
          <w:rFonts w:ascii="Arial" w:eastAsia="標楷體" w:hAnsi="Arial" w:cs="Arial"/>
        </w:rPr>
        <w:t>採</w:t>
      </w:r>
      <w:proofErr w:type="gramEnd"/>
      <w:r w:rsidRPr="004C0A42">
        <w:rPr>
          <w:rFonts w:ascii="Arial" w:eastAsia="標楷體" w:hAnsi="Arial" w:cs="Arial"/>
        </w:rPr>
        <w:t>下列何種責任？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單獨賠償責任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區別賠償責任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連帶賠償責任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懲罰性賠償責任</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某公開發行公司對於其董事、監察人、經理人及大股東持股之異動申報，並未依「證券交易法」第二十五條第二項之規定，於每月十五日以前，彙</w:t>
      </w:r>
      <w:proofErr w:type="gramStart"/>
      <w:r w:rsidRPr="004C0A42">
        <w:rPr>
          <w:rFonts w:ascii="Arial" w:eastAsia="標楷體" w:hAnsi="Arial" w:cs="Arial"/>
        </w:rPr>
        <w:t>總向</w:t>
      </w:r>
      <w:proofErr w:type="gramEnd"/>
      <w:r w:rsidRPr="004C0A42">
        <w:rPr>
          <w:rFonts w:ascii="Arial" w:eastAsia="標楷體" w:hAnsi="Arial" w:cs="Arial"/>
        </w:rPr>
        <w:t>主管機關申報，則主管機關每次得對該公司處新臺幣多少元之行政罰鍰？</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新臺幣二萬元以上，新臺幣十萬元以下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新臺幣四萬元以上，新臺幣二十萬元以下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新臺幣六萬元以上，新臺幣三十萬元以下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新臺幣二十四萬元以上，新臺幣四百八十萬元以下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證券商業務人員有異動者，應於何時向證券交易所（或證券櫃檯買賣中心）、證券商業同業公會申報登記？</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次月十日前</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異動後十日內</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每月五日前</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異動後五日內</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證券商每一分支機構經營期貨交易輔助業務，應繳存營業保證金新臺幣多少元？</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proofErr w:type="gramStart"/>
      <w:r w:rsidRPr="00D3492D">
        <w:rPr>
          <w:rFonts w:ascii="Arial" w:eastAsia="標楷體" w:hAnsi="Arial" w:cs="Arial"/>
        </w:rPr>
        <w:t>一</w:t>
      </w:r>
      <w:proofErr w:type="gramEnd"/>
      <w:r w:rsidRPr="00D3492D">
        <w:rPr>
          <w:rFonts w:ascii="Arial" w:eastAsia="標楷體" w:hAnsi="Arial" w:cs="Arial"/>
        </w:rPr>
        <w:t>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三百萬元</w:t>
      </w:r>
    </w:p>
    <w:p w:rsidR="004C0A42" w:rsidRPr="00D7662C"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五百萬元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一千萬元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公司制證券交易所之董事、監察人至少有多少名額由主管機關指派非股東之有關專家任之？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五分之一</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四分之一</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三分之一</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二分之一</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依現行法規規定，每一證券交易所以開設幾個有價證券集中交易市場為限？</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三個</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二個</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一個</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無限制</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於證券集中保管事業開設帳戶，送存證券並辦理帳簿劃撥之人，稱之為：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委託人</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參加人</w:t>
      </w:r>
      <w:r w:rsidR="000357A5">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受益人</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保管人</w:t>
      </w:r>
    </w:p>
    <w:p w:rsidR="004C0A42" w:rsidRPr="004C0A42" w:rsidRDefault="004C0A42" w:rsidP="004C0A42">
      <w:pPr>
        <w:numPr>
          <w:ilvl w:val="0"/>
          <w:numId w:val="5"/>
        </w:numPr>
        <w:snapToGrid w:val="0"/>
        <w:spacing w:before="60" w:after="60" w:line="300" w:lineRule="exact"/>
        <w:ind w:left="426" w:hanging="426"/>
        <w:rPr>
          <w:rFonts w:ascii="Arial" w:eastAsia="標楷體" w:hAnsi="Arial" w:cs="Arial"/>
        </w:rPr>
      </w:pPr>
      <w:r w:rsidRPr="004C0A42">
        <w:rPr>
          <w:rFonts w:ascii="Arial" w:eastAsia="標楷體" w:hAnsi="Arial" w:cs="Arial"/>
        </w:rPr>
        <w:t>提起撤銷仲裁判斷之訴，應於判斷書交付或送達之日起多久期間內為之？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五日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十日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二十日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三十日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證券交易所</w:t>
      </w:r>
      <w:proofErr w:type="gramStart"/>
      <w:r w:rsidRPr="004C0A42">
        <w:rPr>
          <w:rFonts w:ascii="Arial" w:eastAsia="標楷體" w:hAnsi="Arial" w:cs="Arial"/>
        </w:rPr>
        <w:t>應向何者繳存</w:t>
      </w:r>
      <w:proofErr w:type="gramEnd"/>
      <w:r w:rsidRPr="004C0A42">
        <w:rPr>
          <w:rFonts w:ascii="Arial" w:eastAsia="標楷體" w:hAnsi="Arial" w:cs="Arial"/>
        </w:rPr>
        <w:t>營業保證金？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臺灣銀行</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金融監督管理委員會指定之銀行</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國庫</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中央銀行</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完成有價證券募集之申報程序，可否藉以作為證實申報事項或保證證券價值之宣傳？</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經主管機關核准後才可以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有承銷商評估報告者可以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可以</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不可以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ETF</w:t>
      </w:r>
      <w:r w:rsidRPr="004C0A42">
        <w:rPr>
          <w:rFonts w:ascii="Arial" w:eastAsia="標楷體" w:hAnsi="Arial" w:cs="Arial"/>
        </w:rPr>
        <w:t>是否可以配息？</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僅分配現金股利</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可分配現金股利及股票股利</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僅分配股票股利</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不可參與配息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下列何者為被動式操作管理之基金</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指數型基金</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指數股票型基金</w:t>
      </w:r>
      <w:r w:rsidRPr="00D3492D">
        <w:rPr>
          <w:rFonts w:ascii="Arial" w:eastAsia="標楷體" w:hAnsi="Arial" w:cs="Arial"/>
        </w:rPr>
        <w:t>(ETF)</w:t>
      </w:r>
    </w:p>
    <w:p w:rsidR="000357A5" w:rsidRPr="00D3492D" w:rsidRDefault="004C0A42" w:rsidP="002248CB">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(C)ETF</w:t>
      </w:r>
      <w:r w:rsidRPr="00D3492D">
        <w:rPr>
          <w:rFonts w:ascii="Arial" w:eastAsia="標楷體" w:hAnsi="Arial" w:cs="Arial"/>
        </w:rPr>
        <w:t>連結基金</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以電子方式行使表決權而未親自出席股東會的股東，在表決以下何種議案時會被計為棄權</w:t>
      </w:r>
      <w:r w:rsidR="00D7662C" w:rsidRPr="00D7662C">
        <w:rPr>
          <w:rFonts w:ascii="Arial" w:eastAsia="標楷體" w:hAnsi="Arial" w:cs="Arial" w:hint="eastAsia"/>
        </w:rPr>
        <w:t>？</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臨時動議</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原議案之修正</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對各項議案內容沒有表示贊成或反對時</w:t>
      </w:r>
    </w:p>
    <w:p w:rsidR="002248CB"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代辦股</w:t>
      </w:r>
      <w:proofErr w:type="gramStart"/>
      <w:r w:rsidRPr="004C0A42">
        <w:rPr>
          <w:rFonts w:ascii="Arial" w:eastAsia="標楷體" w:hAnsi="Arial" w:cs="Arial"/>
        </w:rPr>
        <w:t>務</w:t>
      </w:r>
      <w:proofErr w:type="gramEnd"/>
      <w:r w:rsidRPr="004C0A42">
        <w:rPr>
          <w:rFonts w:ascii="Arial" w:eastAsia="標楷體" w:hAnsi="Arial" w:cs="Arial"/>
        </w:rPr>
        <w:t>之機構須配置哪種設備？</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電腦設備</w:t>
      </w:r>
      <w:r w:rsidR="000357A5">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印鑑比對系統</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具防火、防水、防盜功能之金庫</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證券商受</w:t>
      </w:r>
      <w:proofErr w:type="gramStart"/>
      <w:r w:rsidRPr="004C0A42">
        <w:rPr>
          <w:rFonts w:ascii="Arial" w:eastAsia="標楷體" w:hAnsi="Arial" w:cs="Arial"/>
        </w:rPr>
        <w:t>僱</w:t>
      </w:r>
      <w:proofErr w:type="gramEnd"/>
      <w:r w:rsidRPr="004C0A42">
        <w:rPr>
          <w:rFonts w:ascii="Arial" w:eastAsia="標楷體" w:hAnsi="Arial" w:cs="Arial"/>
        </w:rPr>
        <w:t>人對外執行業務及在集中交易市場所為之一切行為，證券商應負何種責任？</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部分責任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無須負責</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完全責任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可負可不負</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集中交易市場零股交易每日升降幅度為何？</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(A)3%</w:t>
      </w:r>
      <w:r w:rsidRPr="00D3492D">
        <w:rPr>
          <w:rFonts w:ascii="Arial" w:eastAsia="標楷體" w:hAnsi="Arial" w:cs="Arial" w:hint="eastAsia"/>
        </w:rPr>
        <w:tab/>
      </w:r>
      <w:r w:rsidRPr="00D3492D">
        <w:rPr>
          <w:rFonts w:ascii="Arial" w:eastAsia="標楷體" w:hAnsi="Arial" w:cs="Arial"/>
        </w:rPr>
        <w:t>(B)2%</w:t>
      </w:r>
      <w:r w:rsidRPr="00D3492D">
        <w:rPr>
          <w:rFonts w:ascii="Arial" w:eastAsia="標楷體" w:hAnsi="Arial" w:cs="Arial" w:hint="eastAsia"/>
        </w:rPr>
        <w:tab/>
      </w:r>
      <w:r w:rsidRPr="00D3492D">
        <w:rPr>
          <w:rFonts w:ascii="Arial" w:eastAsia="標楷體" w:hAnsi="Arial" w:cs="Arial"/>
        </w:rPr>
        <w:t>(C)10%</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未限制</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依「證券交易法」規定，在公司制證券交易所買賣限於何</w:t>
      </w:r>
      <w:r w:rsidR="0030173E">
        <w:rPr>
          <w:rFonts w:ascii="Arial" w:eastAsia="標楷體" w:hAnsi="Arial" w:cs="Arial" w:hint="eastAsia"/>
        </w:rPr>
        <w:t>者</w:t>
      </w:r>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訂有使用有價證券集中交易市場契約之證券自營商或證券經紀商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機構投資人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0030173E">
        <w:rPr>
          <w:rFonts w:ascii="Arial" w:eastAsia="標楷體" w:hAnsi="Arial" w:cs="Arial" w:hint="eastAsia"/>
        </w:rPr>
        <w:t>已開戶之自然人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有行為能力之</w:t>
      </w:r>
      <w:r w:rsidR="00D7662C">
        <w:rPr>
          <w:rFonts w:ascii="Arial" w:eastAsia="標楷體" w:hAnsi="Arial" w:cs="Arial" w:hint="eastAsia"/>
        </w:rPr>
        <w:t>投資</w:t>
      </w:r>
      <w:r w:rsidRPr="00D3492D">
        <w:rPr>
          <w:rFonts w:ascii="Arial" w:eastAsia="標楷體" w:hAnsi="Arial" w:cs="Arial"/>
        </w:rPr>
        <w:t>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下列何種人員不得進入集中交易市場？</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主管機關派任之監理人員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經向證交所登記准予進入市場之證券商業務人員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證交所之場</w:t>
      </w:r>
      <w:proofErr w:type="gramStart"/>
      <w:r w:rsidRPr="00D3492D">
        <w:rPr>
          <w:rFonts w:ascii="Arial" w:eastAsia="標楷體" w:hAnsi="Arial" w:cs="Arial"/>
        </w:rPr>
        <w:t>務</w:t>
      </w:r>
      <w:proofErr w:type="gramEnd"/>
      <w:r w:rsidRPr="00D3492D">
        <w:rPr>
          <w:rFonts w:ascii="Arial" w:eastAsia="標楷體" w:hAnsi="Arial" w:cs="Arial"/>
        </w:rPr>
        <w:t>執行人員暨場</w:t>
      </w:r>
      <w:proofErr w:type="gramStart"/>
      <w:r w:rsidRPr="00D3492D">
        <w:rPr>
          <w:rFonts w:ascii="Arial" w:eastAsia="標楷體" w:hAnsi="Arial" w:cs="Arial"/>
        </w:rPr>
        <w:t>務</w:t>
      </w:r>
      <w:proofErr w:type="gramEnd"/>
      <w:r w:rsidRPr="00D3492D">
        <w:rPr>
          <w:rFonts w:ascii="Arial" w:eastAsia="標楷體" w:hAnsi="Arial" w:cs="Arial"/>
        </w:rPr>
        <w:t>工作人員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證券商業同業公會派駐人員</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證交所買賣申報之競價方式為</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集合競</w:t>
      </w:r>
      <w:proofErr w:type="gramStart"/>
      <w:r w:rsidRPr="00D3492D">
        <w:rPr>
          <w:rFonts w:ascii="Arial" w:eastAsia="標楷體" w:hAnsi="Arial" w:cs="Arial"/>
        </w:rPr>
        <w:t>價及逐筆</w:t>
      </w:r>
      <w:proofErr w:type="gramEnd"/>
      <w:r w:rsidRPr="00D3492D">
        <w:rPr>
          <w:rFonts w:ascii="Arial" w:eastAsia="標楷體" w:hAnsi="Arial" w:cs="Arial"/>
        </w:rPr>
        <w:t>交易</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逐筆交易及連續競價</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集合競價及連續競價</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協議競</w:t>
      </w:r>
      <w:proofErr w:type="gramStart"/>
      <w:r w:rsidRPr="00D3492D">
        <w:rPr>
          <w:rFonts w:ascii="Arial" w:eastAsia="標楷體" w:hAnsi="Arial" w:cs="Arial"/>
        </w:rPr>
        <w:t>價及逐筆</w:t>
      </w:r>
      <w:proofErr w:type="gramEnd"/>
      <w:r w:rsidRPr="00D3492D">
        <w:rPr>
          <w:rFonts w:ascii="Arial" w:eastAsia="標楷體" w:hAnsi="Arial" w:cs="Arial"/>
        </w:rPr>
        <w:t>交易</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櫃檯買賣股票於證券商營業處所議價買賣之交易時間為何？</w:t>
      </w:r>
    </w:p>
    <w:p w:rsidR="00EC007B"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12:00</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13:30</w:t>
      </w:r>
    </w:p>
    <w:p w:rsidR="00EC007B"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15:00</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每日</w:t>
      </w:r>
      <w:r w:rsidRPr="00D3492D">
        <w:rPr>
          <w:rFonts w:ascii="Arial" w:eastAsia="標楷體" w:hAnsi="Arial" w:cs="Arial"/>
        </w:rPr>
        <w:t>13:40</w:t>
      </w:r>
      <w:r w:rsidRPr="00D3492D">
        <w:rPr>
          <w:rFonts w:ascii="Arial" w:eastAsia="標楷體" w:hAnsi="Arial" w:cs="Arial"/>
        </w:rPr>
        <w:t>～</w:t>
      </w:r>
      <w:r w:rsidRPr="00D3492D">
        <w:rPr>
          <w:rFonts w:ascii="Arial" w:eastAsia="標楷體" w:hAnsi="Arial" w:cs="Arial"/>
        </w:rPr>
        <w:t>15:00</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證券商非經何單位許可，並與中華民國證券櫃買中心簽訂證券商經營櫃檯買賣有價證券契約，不得經營櫃檯買賣業務？</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財政部</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金管會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中央銀行</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經濟部</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若參加證券櫃買中心債券等</w:t>
      </w:r>
      <w:proofErr w:type="gramStart"/>
      <w:r w:rsidRPr="004C0A42">
        <w:rPr>
          <w:rFonts w:ascii="Arial" w:eastAsia="標楷體" w:hAnsi="Arial" w:cs="Arial"/>
        </w:rPr>
        <w:t>殖</w:t>
      </w:r>
      <w:proofErr w:type="gramEnd"/>
      <w:r w:rsidRPr="004C0A42">
        <w:rPr>
          <w:rFonts w:ascii="Arial" w:eastAsia="標楷體" w:hAnsi="Arial" w:cs="Arial"/>
        </w:rPr>
        <w:t>成交系統，應以哪種方式為之？</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自營</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經紀</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議價</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皆正確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依證券交易法之規定，發行人何時需向公眾提出說明文書（公開說明書）？</w:t>
      </w:r>
    </w:p>
    <w:p w:rsidR="004C0A42"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募集或出賣有價證券</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財務預測公告</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財務報告公告</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重大資產處分公告</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發行人募集與發行有價證券處理準則所稱「營業日」係指：</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人事行政局所公布之上班日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證券市場交易日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國定假日</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以上皆非</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下列上市公司何者於最近一會計年度終了，應依規定編製與申報中文版本之企業社會責任報告書？</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食品工業、化學工業及金融保險業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依財務報告，餐飲收入占其全部營業收入之比率達</w:t>
      </w:r>
      <w:r w:rsidRPr="00D3492D">
        <w:rPr>
          <w:rFonts w:ascii="Arial" w:eastAsia="標楷體" w:hAnsi="Arial" w:cs="Arial"/>
        </w:rPr>
        <w:t>50%</w:t>
      </w:r>
      <w:r w:rsidRPr="00D3492D">
        <w:rPr>
          <w:rFonts w:ascii="Arial" w:eastAsia="標楷體" w:hAnsi="Arial" w:cs="Arial"/>
        </w:rPr>
        <w:t>以上者</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依財務報告，股本達新臺幣五十億元以上者</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買賣在我國上市之外國股票使用之貨幣，以何者為</w:t>
      </w:r>
      <w:proofErr w:type="gramStart"/>
      <w:r w:rsidRPr="004C0A42">
        <w:rPr>
          <w:rFonts w:ascii="Arial" w:eastAsia="標楷體" w:hAnsi="Arial" w:cs="Arial"/>
        </w:rPr>
        <w:t>準</w:t>
      </w:r>
      <w:proofErr w:type="gramEnd"/>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中央銀行</w:t>
      </w:r>
      <w:proofErr w:type="gramStart"/>
      <w:r w:rsidRPr="00D3492D">
        <w:rPr>
          <w:rFonts w:ascii="Arial" w:eastAsia="標楷體" w:hAnsi="Arial" w:cs="Arial"/>
        </w:rPr>
        <w:t>同意之幣別</w:t>
      </w:r>
      <w:proofErr w:type="gramEnd"/>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w:t>
      </w:r>
      <w:proofErr w:type="gramStart"/>
      <w:r w:rsidRPr="00D3492D">
        <w:rPr>
          <w:rFonts w:ascii="Arial" w:eastAsia="標楷體" w:hAnsi="Arial" w:cs="Arial"/>
        </w:rPr>
        <w:t>期局同意之幣</w:t>
      </w:r>
      <w:proofErr w:type="gramEnd"/>
      <w:r w:rsidRPr="00D3492D">
        <w:rPr>
          <w:rFonts w:ascii="Arial" w:eastAsia="標楷體" w:hAnsi="Arial" w:cs="Arial"/>
        </w:rPr>
        <w:t>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財政部</w:t>
      </w:r>
      <w:proofErr w:type="gramStart"/>
      <w:r w:rsidRPr="00D3492D">
        <w:rPr>
          <w:rFonts w:ascii="Arial" w:eastAsia="標楷體" w:hAnsi="Arial" w:cs="Arial"/>
        </w:rPr>
        <w:t>同意之幣別</w:t>
      </w:r>
      <w:proofErr w:type="gramEnd"/>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外國發行人向證交所申請</w:t>
      </w:r>
      <w:proofErr w:type="gramStart"/>
      <w:r w:rsidRPr="00D3492D">
        <w:rPr>
          <w:rFonts w:ascii="Arial" w:eastAsia="標楷體" w:hAnsi="Arial" w:cs="Arial"/>
        </w:rPr>
        <w:t>上市之幣別</w:t>
      </w:r>
      <w:proofErr w:type="gramEnd"/>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證券所有人參加標借，應填寫標單，委託何者辦理？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證券商</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證券金融事業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證交所</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證券商業同業公會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在辦理證券集中交割，證券商對證交所之應付有價證券，應於下列何時辦理交割？</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成交日當日</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成交日後第一個營業日</w:t>
      </w:r>
      <w:r w:rsidRPr="00D3492D">
        <w:rPr>
          <w:rFonts w:ascii="Arial" w:eastAsia="標楷體" w:hAnsi="Arial" w:cs="Arial"/>
        </w:rPr>
        <w:t>12:00</w:t>
      </w:r>
      <w:r w:rsidRPr="00D3492D">
        <w:rPr>
          <w:rFonts w:ascii="Arial" w:eastAsia="標楷體" w:hAnsi="Arial" w:cs="Arial"/>
        </w:rPr>
        <w:t>前</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成交日後第一個營業日</w:t>
      </w:r>
      <w:r w:rsidRPr="00D3492D">
        <w:rPr>
          <w:rFonts w:ascii="Arial" w:eastAsia="標楷體" w:hAnsi="Arial" w:cs="Arial"/>
        </w:rPr>
        <w:t>18:00</w:t>
      </w:r>
      <w:r w:rsidRPr="00D3492D">
        <w:rPr>
          <w:rFonts w:ascii="Arial" w:eastAsia="標楷體" w:hAnsi="Arial" w:cs="Arial"/>
        </w:rPr>
        <w:t>前</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成交日後第二</w:t>
      </w:r>
      <w:proofErr w:type="gramStart"/>
      <w:r w:rsidRPr="00D3492D">
        <w:rPr>
          <w:rFonts w:ascii="Arial" w:eastAsia="標楷體" w:hAnsi="Arial" w:cs="Arial"/>
        </w:rPr>
        <w:t>個</w:t>
      </w:r>
      <w:proofErr w:type="gramEnd"/>
      <w:r w:rsidRPr="00D3492D">
        <w:rPr>
          <w:rFonts w:ascii="Arial" w:eastAsia="標楷體" w:hAnsi="Arial" w:cs="Arial"/>
        </w:rPr>
        <w:t>營業日</w:t>
      </w:r>
      <w:r w:rsidRPr="00D3492D">
        <w:rPr>
          <w:rFonts w:ascii="Arial" w:eastAsia="標楷體" w:hAnsi="Arial" w:cs="Arial"/>
        </w:rPr>
        <w:t>10:00</w:t>
      </w:r>
      <w:r w:rsidRPr="00D3492D">
        <w:rPr>
          <w:rFonts w:ascii="Arial" w:eastAsia="標楷體" w:hAnsi="Arial" w:cs="Arial"/>
        </w:rPr>
        <w:t>前</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櫃檯買賣有價證券最近</w:t>
      </w:r>
      <w:r w:rsidRPr="004C0A42">
        <w:rPr>
          <w:rFonts w:ascii="Arial" w:eastAsia="標楷體" w:hAnsi="Arial" w:cs="Arial"/>
        </w:rPr>
        <w:t>30</w:t>
      </w:r>
      <w:r w:rsidRPr="004C0A42">
        <w:rPr>
          <w:rFonts w:ascii="Arial" w:eastAsia="標楷體" w:hAnsi="Arial" w:cs="Arial"/>
        </w:rPr>
        <w:t>個營業日內第一次被列為處置股票者，證券櫃買中心即於次一營業日起幾個營業日，對該有價證券</w:t>
      </w:r>
      <w:proofErr w:type="gramStart"/>
      <w:r w:rsidRPr="004C0A42">
        <w:rPr>
          <w:rFonts w:ascii="Arial" w:eastAsia="標楷體" w:hAnsi="Arial" w:cs="Arial"/>
        </w:rPr>
        <w:t>採</w:t>
      </w:r>
      <w:proofErr w:type="gramEnd"/>
      <w:r w:rsidRPr="004C0A42">
        <w:rPr>
          <w:rFonts w:ascii="Arial" w:eastAsia="標楷體" w:hAnsi="Arial" w:cs="Arial"/>
        </w:rPr>
        <w:t>行人工管制之撮合終端機執行撮合作業？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(A)3</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(B)5</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(C)10</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(D)15</w:t>
      </w:r>
      <w:r w:rsidRPr="00D3492D">
        <w:rPr>
          <w:rFonts w:ascii="Arial" w:eastAsia="標楷體" w:hAnsi="Arial" w:cs="Arial"/>
        </w:rPr>
        <w:t>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股票申請上櫃者，至少須經幾家以上之證券商以書面推薦之？</w:t>
      </w:r>
    </w:p>
    <w:p w:rsidR="002248CB"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二家</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三家</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四家</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五家</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櫃買中心繼續提列特別給付結算基金之上限為多少？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新臺幣一億元</w:t>
      </w:r>
      <w:r w:rsidR="00EC007B">
        <w:rPr>
          <w:rFonts w:ascii="Arial" w:eastAsia="標楷體" w:hAnsi="Arial" w:cs="Arial" w:hint="eastAsia"/>
        </w:rPr>
        <w:tab/>
      </w:r>
      <w:r w:rsidR="00EC007B">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新臺幣三億元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新臺幣六億元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新臺幣十億元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櫃檯買賣證券經紀商因執行受託買賣發生錯誤，須為買回、轉賣者，應如何處理？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於發生錯誤</w:t>
      </w:r>
      <w:r w:rsidRPr="00D3492D">
        <w:rPr>
          <w:rFonts w:ascii="Arial" w:eastAsia="標楷體" w:hAnsi="Arial" w:cs="Arial" w:hint="eastAsia"/>
        </w:rPr>
        <w:t>兩</w:t>
      </w:r>
      <w:r w:rsidRPr="00D3492D">
        <w:rPr>
          <w:rFonts w:ascii="Arial" w:eastAsia="標楷體" w:hAnsi="Arial" w:cs="Arial"/>
        </w:rPr>
        <w:t>日</w:t>
      </w:r>
      <w:r w:rsidRPr="00D3492D">
        <w:rPr>
          <w:rFonts w:ascii="Arial" w:eastAsia="標楷體" w:hAnsi="Arial" w:cs="Arial" w:hint="eastAsia"/>
        </w:rPr>
        <w:t>內</w:t>
      </w:r>
      <w:r w:rsidRPr="00D3492D">
        <w:rPr>
          <w:rFonts w:ascii="Arial" w:eastAsia="標楷體" w:hAnsi="Arial" w:cs="Arial"/>
        </w:rPr>
        <w:t>以錯帳處理專戶為之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於發生錯誤次一營業日以違約處理專戶為之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於發生錯誤當日或次一營業日以任一客戶之買賣帳戶為之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於發生錯誤當日或次一營業日以錯帳處理專戶為之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目前證券金融事業得經營下列哪些業務？</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對證券商辦理承銷之融資</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承銷認股之融資</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有價證券買賣之融資融券</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目前證券商營業處所受託買賣有價證券的交易手續費上限為多少？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千分之零點二八</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 xml:space="preserve">千分之一點四二五　</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 xml:space="preserve">千分之一　</w:t>
      </w:r>
    </w:p>
    <w:p w:rsidR="00A44960" w:rsidRPr="00D7662C"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千分之三</w:t>
      </w:r>
    </w:p>
    <w:sectPr w:rsidR="00A44960" w:rsidRPr="00D7662C" w:rsidSect="00107606">
      <w:pgSz w:w="11907" w:h="16840" w:code="9"/>
      <w:pgMar w:top="851" w:right="851" w:bottom="851" w:left="851" w:header="851" w:footer="992" w:gutter="0"/>
      <w:cols w:space="480"/>
      <w:docGrid w:type="lines" w:linePitch="360" w:charSpace="98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A8" w:rsidRDefault="00510BA8" w:rsidP="00E8593B">
      <w:r>
        <w:separator/>
      </w:r>
    </w:p>
  </w:endnote>
  <w:endnote w:type="continuationSeparator" w:id="0">
    <w:p w:rsidR="00510BA8" w:rsidRDefault="00510BA8"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A8" w:rsidRDefault="00510BA8" w:rsidP="00E8593B">
      <w:r>
        <w:separator/>
      </w:r>
    </w:p>
  </w:footnote>
  <w:footnote w:type="continuationSeparator" w:id="0">
    <w:p w:rsidR="00510BA8" w:rsidRDefault="00510BA8"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828"/>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721"/>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211AE"/>
    <w:rsid w:val="000357A5"/>
    <w:rsid w:val="000547EB"/>
    <w:rsid w:val="00072B7B"/>
    <w:rsid w:val="000735A7"/>
    <w:rsid w:val="00073F76"/>
    <w:rsid w:val="00075903"/>
    <w:rsid w:val="000809B3"/>
    <w:rsid w:val="000857CB"/>
    <w:rsid w:val="000C4B85"/>
    <w:rsid w:val="000E05FE"/>
    <w:rsid w:val="000E1A08"/>
    <w:rsid w:val="00106EE8"/>
    <w:rsid w:val="00107606"/>
    <w:rsid w:val="001121B0"/>
    <w:rsid w:val="00126DC6"/>
    <w:rsid w:val="00134A25"/>
    <w:rsid w:val="001375BD"/>
    <w:rsid w:val="00145BFB"/>
    <w:rsid w:val="00150536"/>
    <w:rsid w:val="00163918"/>
    <w:rsid w:val="00195B56"/>
    <w:rsid w:val="001B254B"/>
    <w:rsid w:val="001B510A"/>
    <w:rsid w:val="001C3DBB"/>
    <w:rsid w:val="001C7FDF"/>
    <w:rsid w:val="001E4B2A"/>
    <w:rsid w:val="001F0276"/>
    <w:rsid w:val="001F5E2E"/>
    <w:rsid w:val="0020006F"/>
    <w:rsid w:val="002022E5"/>
    <w:rsid w:val="00207A08"/>
    <w:rsid w:val="002248CB"/>
    <w:rsid w:val="00227349"/>
    <w:rsid w:val="00255939"/>
    <w:rsid w:val="00265A27"/>
    <w:rsid w:val="002A27F0"/>
    <w:rsid w:val="002D2E98"/>
    <w:rsid w:val="002D3D8C"/>
    <w:rsid w:val="00300B3D"/>
    <w:rsid w:val="0030173E"/>
    <w:rsid w:val="00312B8E"/>
    <w:rsid w:val="0031391A"/>
    <w:rsid w:val="0032224F"/>
    <w:rsid w:val="00324D46"/>
    <w:rsid w:val="00327485"/>
    <w:rsid w:val="00352D5B"/>
    <w:rsid w:val="00360A74"/>
    <w:rsid w:val="003612DD"/>
    <w:rsid w:val="003638A4"/>
    <w:rsid w:val="00366EB1"/>
    <w:rsid w:val="003716A6"/>
    <w:rsid w:val="003744B0"/>
    <w:rsid w:val="00375567"/>
    <w:rsid w:val="00383859"/>
    <w:rsid w:val="0038625B"/>
    <w:rsid w:val="003934C0"/>
    <w:rsid w:val="003A1B74"/>
    <w:rsid w:val="003D03A8"/>
    <w:rsid w:val="003D1C50"/>
    <w:rsid w:val="003D34CD"/>
    <w:rsid w:val="003E531C"/>
    <w:rsid w:val="004025E3"/>
    <w:rsid w:val="00406582"/>
    <w:rsid w:val="00423EAC"/>
    <w:rsid w:val="0042760A"/>
    <w:rsid w:val="00430CF8"/>
    <w:rsid w:val="00454E83"/>
    <w:rsid w:val="00464403"/>
    <w:rsid w:val="00466EF0"/>
    <w:rsid w:val="004A5655"/>
    <w:rsid w:val="004B0153"/>
    <w:rsid w:val="004C0A42"/>
    <w:rsid w:val="004C5A52"/>
    <w:rsid w:val="004D5E0E"/>
    <w:rsid w:val="004E4E9E"/>
    <w:rsid w:val="004F7C41"/>
    <w:rsid w:val="00500DB3"/>
    <w:rsid w:val="00510BA8"/>
    <w:rsid w:val="00550D86"/>
    <w:rsid w:val="00570689"/>
    <w:rsid w:val="00571D73"/>
    <w:rsid w:val="00587853"/>
    <w:rsid w:val="005977A8"/>
    <w:rsid w:val="005A1BE1"/>
    <w:rsid w:val="005A660D"/>
    <w:rsid w:val="005B2597"/>
    <w:rsid w:val="005C3C69"/>
    <w:rsid w:val="0060232A"/>
    <w:rsid w:val="00617A5C"/>
    <w:rsid w:val="00624A0B"/>
    <w:rsid w:val="006453C8"/>
    <w:rsid w:val="006579B6"/>
    <w:rsid w:val="00662640"/>
    <w:rsid w:val="00662730"/>
    <w:rsid w:val="006802E4"/>
    <w:rsid w:val="00680715"/>
    <w:rsid w:val="00684D62"/>
    <w:rsid w:val="00686365"/>
    <w:rsid w:val="006C4FDC"/>
    <w:rsid w:val="006D2FF5"/>
    <w:rsid w:val="006E11A2"/>
    <w:rsid w:val="006E1901"/>
    <w:rsid w:val="006F5B5E"/>
    <w:rsid w:val="006F663F"/>
    <w:rsid w:val="006F7603"/>
    <w:rsid w:val="006F7F38"/>
    <w:rsid w:val="007239EA"/>
    <w:rsid w:val="007303FC"/>
    <w:rsid w:val="0073675F"/>
    <w:rsid w:val="00747DB8"/>
    <w:rsid w:val="00756A4E"/>
    <w:rsid w:val="007653FA"/>
    <w:rsid w:val="007702A3"/>
    <w:rsid w:val="00771E1A"/>
    <w:rsid w:val="007730E3"/>
    <w:rsid w:val="00775098"/>
    <w:rsid w:val="00783C8B"/>
    <w:rsid w:val="00790F83"/>
    <w:rsid w:val="007925DF"/>
    <w:rsid w:val="0079403C"/>
    <w:rsid w:val="007A3095"/>
    <w:rsid w:val="007A56DF"/>
    <w:rsid w:val="007B2B5D"/>
    <w:rsid w:val="007B53F2"/>
    <w:rsid w:val="007B542E"/>
    <w:rsid w:val="007E6D70"/>
    <w:rsid w:val="007F4808"/>
    <w:rsid w:val="00827CB0"/>
    <w:rsid w:val="00840DAC"/>
    <w:rsid w:val="00842FF7"/>
    <w:rsid w:val="00850E36"/>
    <w:rsid w:val="0085132D"/>
    <w:rsid w:val="00864B7F"/>
    <w:rsid w:val="0088035D"/>
    <w:rsid w:val="00892ACE"/>
    <w:rsid w:val="0089489B"/>
    <w:rsid w:val="00896DD6"/>
    <w:rsid w:val="008C14DB"/>
    <w:rsid w:val="008D0072"/>
    <w:rsid w:val="008D024C"/>
    <w:rsid w:val="008D1AFB"/>
    <w:rsid w:val="008E5B15"/>
    <w:rsid w:val="008F42CC"/>
    <w:rsid w:val="00901D9A"/>
    <w:rsid w:val="0093576F"/>
    <w:rsid w:val="0095604F"/>
    <w:rsid w:val="00961B79"/>
    <w:rsid w:val="0098137A"/>
    <w:rsid w:val="009859E8"/>
    <w:rsid w:val="00986D4B"/>
    <w:rsid w:val="009A3456"/>
    <w:rsid w:val="009A6834"/>
    <w:rsid w:val="009B156D"/>
    <w:rsid w:val="009B25EF"/>
    <w:rsid w:val="009B64BA"/>
    <w:rsid w:val="009D3D83"/>
    <w:rsid w:val="00A0243F"/>
    <w:rsid w:val="00A1727D"/>
    <w:rsid w:val="00A30E64"/>
    <w:rsid w:val="00A4006A"/>
    <w:rsid w:val="00A44960"/>
    <w:rsid w:val="00A47F42"/>
    <w:rsid w:val="00A507ED"/>
    <w:rsid w:val="00A5195F"/>
    <w:rsid w:val="00A66228"/>
    <w:rsid w:val="00A81E0B"/>
    <w:rsid w:val="00A82CD4"/>
    <w:rsid w:val="00A9126D"/>
    <w:rsid w:val="00A94088"/>
    <w:rsid w:val="00AA4AA7"/>
    <w:rsid w:val="00AB272C"/>
    <w:rsid w:val="00AE0137"/>
    <w:rsid w:val="00AE015E"/>
    <w:rsid w:val="00AF0A74"/>
    <w:rsid w:val="00AF35EA"/>
    <w:rsid w:val="00B3035E"/>
    <w:rsid w:val="00B349F9"/>
    <w:rsid w:val="00B42E3E"/>
    <w:rsid w:val="00B43E28"/>
    <w:rsid w:val="00B60CE5"/>
    <w:rsid w:val="00B64BC6"/>
    <w:rsid w:val="00B6596D"/>
    <w:rsid w:val="00B7209F"/>
    <w:rsid w:val="00B80876"/>
    <w:rsid w:val="00B811FB"/>
    <w:rsid w:val="00B872EF"/>
    <w:rsid w:val="00B91822"/>
    <w:rsid w:val="00B931DB"/>
    <w:rsid w:val="00BB102E"/>
    <w:rsid w:val="00BC62E7"/>
    <w:rsid w:val="00BD3848"/>
    <w:rsid w:val="00BD6634"/>
    <w:rsid w:val="00BF2689"/>
    <w:rsid w:val="00BF3379"/>
    <w:rsid w:val="00C05779"/>
    <w:rsid w:val="00C10F29"/>
    <w:rsid w:val="00C149C7"/>
    <w:rsid w:val="00C24BA9"/>
    <w:rsid w:val="00C362BF"/>
    <w:rsid w:val="00C362E6"/>
    <w:rsid w:val="00C40479"/>
    <w:rsid w:val="00C6155E"/>
    <w:rsid w:val="00C65FA1"/>
    <w:rsid w:val="00C8538F"/>
    <w:rsid w:val="00C86CBF"/>
    <w:rsid w:val="00C903AD"/>
    <w:rsid w:val="00CA0871"/>
    <w:rsid w:val="00CA3327"/>
    <w:rsid w:val="00CD4551"/>
    <w:rsid w:val="00CE14EB"/>
    <w:rsid w:val="00CE342F"/>
    <w:rsid w:val="00CF0CE3"/>
    <w:rsid w:val="00D15256"/>
    <w:rsid w:val="00D32414"/>
    <w:rsid w:val="00D3492D"/>
    <w:rsid w:val="00D46281"/>
    <w:rsid w:val="00D57E17"/>
    <w:rsid w:val="00D7662C"/>
    <w:rsid w:val="00D962E2"/>
    <w:rsid w:val="00DA639D"/>
    <w:rsid w:val="00DB0D89"/>
    <w:rsid w:val="00DB47CA"/>
    <w:rsid w:val="00DB55D4"/>
    <w:rsid w:val="00DC551F"/>
    <w:rsid w:val="00DC77FB"/>
    <w:rsid w:val="00DF5435"/>
    <w:rsid w:val="00E07642"/>
    <w:rsid w:val="00E15946"/>
    <w:rsid w:val="00E31593"/>
    <w:rsid w:val="00E344F4"/>
    <w:rsid w:val="00E50721"/>
    <w:rsid w:val="00E64729"/>
    <w:rsid w:val="00E758FF"/>
    <w:rsid w:val="00E82CEC"/>
    <w:rsid w:val="00E8593B"/>
    <w:rsid w:val="00E96658"/>
    <w:rsid w:val="00E97EAE"/>
    <w:rsid w:val="00EA0878"/>
    <w:rsid w:val="00EB0D6E"/>
    <w:rsid w:val="00EB1649"/>
    <w:rsid w:val="00EB48CB"/>
    <w:rsid w:val="00EB5357"/>
    <w:rsid w:val="00EC007B"/>
    <w:rsid w:val="00EC1142"/>
    <w:rsid w:val="00EC17DF"/>
    <w:rsid w:val="00ED68E1"/>
    <w:rsid w:val="00ED758C"/>
    <w:rsid w:val="00F06011"/>
    <w:rsid w:val="00F22445"/>
    <w:rsid w:val="00F30DDC"/>
    <w:rsid w:val="00F556A2"/>
    <w:rsid w:val="00F56BC3"/>
    <w:rsid w:val="00F64461"/>
    <w:rsid w:val="00F73634"/>
    <w:rsid w:val="00F7396D"/>
    <w:rsid w:val="00FB6A8D"/>
    <w:rsid w:val="00FD18E1"/>
    <w:rsid w:val="00FD3C24"/>
    <w:rsid w:val="00FD6421"/>
    <w:rsid w:val="00FE2F91"/>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0C12-1811-48F5-85AB-CB04139C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3534</Characters>
  <Application>Microsoft Office Word</Application>
  <DocSecurity>0</DocSecurity>
  <Lines>29</Lines>
  <Paragraphs>8</Paragraphs>
  <ScaleCrop>false</ScaleCrop>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2020-12-01T09:52:00Z</cp:lastPrinted>
  <dcterms:created xsi:type="dcterms:W3CDTF">2020-12-07T06:13:00Z</dcterms:created>
  <dcterms:modified xsi:type="dcterms:W3CDTF">2020-12-07T06:13:00Z</dcterms:modified>
</cp:coreProperties>
</file>